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jc w:val="center"/>
        <w:rPr>
          <w:rFonts w:eastAsia="方正小标宋_GBK"/>
          <w:sz w:val="44"/>
          <w:szCs w:val="44"/>
        </w:rPr>
      </w:pPr>
    </w:p>
    <w:p>
      <w:pPr>
        <w:ind w:firstLine="0"/>
        <w:jc w:val="center"/>
        <w:rPr>
          <w:rFonts w:eastAsia="方正小标宋简体"/>
          <w:sz w:val="44"/>
          <w:szCs w:val="44"/>
        </w:rPr>
      </w:pPr>
      <w:r>
        <w:rPr>
          <w:rFonts w:eastAsia="方正小标宋简体"/>
          <w:sz w:val="44"/>
          <w:szCs w:val="44"/>
        </w:rPr>
        <w:t>海州区“4•9”一般中毒和窒息事故调查报告</w:t>
      </w:r>
    </w:p>
    <w:p>
      <w:pPr>
        <w:ind w:firstLine="872" w:firstLineChars="200"/>
        <w:rPr>
          <w:rFonts w:eastAsia="方正小标宋简体"/>
          <w:color w:val="FF0000"/>
          <w:sz w:val="44"/>
          <w:szCs w:val="44"/>
        </w:rPr>
      </w:pPr>
      <w:bookmarkStart w:id="0" w:name="2408600-2546471-0"/>
      <w:bookmarkEnd w:id="0"/>
    </w:p>
    <w:p>
      <w:pPr>
        <w:ind w:firstLine="632" w:firstLineChars="200"/>
        <w:rPr>
          <w:kern w:val="0"/>
          <w:szCs w:val="32"/>
        </w:rPr>
      </w:pPr>
      <w:r>
        <w:rPr>
          <w:kern w:val="0"/>
          <w:szCs w:val="32"/>
        </w:rPr>
        <w:t>2022年4月9日13时许，海州区发生一起一般中毒和窒息事故，造成2人死亡，1人受伤，直接经济损失321万元。</w:t>
      </w:r>
    </w:p>
    <w:p>
      <w:pPr>
        <w:ind w:firstLine="632" w:firstLineChars="200"/>
        <w:rPr>
          <w:kern w:val="0"/>
          <w:szCs w:val="32"/>
        </w:rPr>
      </w:pPr>
      <w:r>
        <w:rPr>
          <w:kern w:val="0"/>
          <w:szCs w:val="32"/>
        </w:rPr>
        <w:t>依据《中华人民共和国安全生产法》《生产安全事故报告和调查处理条例》等法律法规，以及《市政府关于明确生产安全事故调查处理相关规定的通知》（连政发〔2018〕78号）规定和市领导批示要求，2022年4月14日，由市应急管理局牵头，邀请市纪委监委派员参加，市公安局、市住建局、市总工会派员组成市政府海州区“4•9”一般中毒和窒息事故调查组，开展了事故调查工作。</w:t>
      </w:r>
    </w:p>
    <w:p>
      <w:pPr>
        <w:ind w:firstLine="632" w:firstLineChars="200"/>
        <w:rPr>
          <w:kern w:val="0"/>
          <w:szCs w:val="32"/>
        </w:rPr>
      </w:pPr>
      <w:r>
        <w:rPr>
          <w:kern w:val="0"/>
          <w:szCs w:val="32"/>
        </w:rPr>
        <w:t>事故调查组按照“四不放过”和“科学严谨、依法依规、实事求是、注重实效”的原则，通过现场勘查、调查取证、综合分析等方式，查明了事故原因，认定了事故性质，对事故相关责任人员和责任单位提出了处理建议，并针对事故暴露出的问题提出了防范和整改措施建议。现将有关情况报告如下：</w:t>
      </w:r>
    </w:p>
    <w:p>
      <w:pPr>
        <w:ind w:firstLine="632" w:firstLineChars="200"/>
        <w:rPr>
          <w:rFonts w:eastAsia="黑体"/>
          <w:color w:val="000000"/>
        </w:rPr>
      </w:pPr>
      <w:r>
        <w:rPr>
          <w:rFonts w:eastAsia="黑体"/>
          <w:color w:val="000000"/>
        </w:rPr>
        <w:t>一、工程基本情况</w:t>
      </w:r>
    </w:p>
    <w:p>
      <w:pPr>
        <w:widowControl/>
        <w:shd w:val="clear" w:color="auto" w:fill="FFFFFF"/>
        <w:ind w:firstLine="632" w:firstLineChars="200"/>
        <w:rPr>
          <w:rFonts w:eastAsia="楷体_GB2312"/>
          <w:szCs w:val="32"/>
        </w:rPr>
      </w:pPr>
      <w:r>
        <w:rPr>
          <w:rFonts w:eastAsia="楷体_GB2312"/>
          <w:szCs w:val="32"/>
        </w:rPr>
        <w:t>（一）高新区地下排水管网排查检测工程基本情况</w:t>
      </w:r>
    </w:p>
    <w:p>
      <w:pPr>
        <w:widowControl/>
        <w:shd w:val="clear" w:color="auto" w:fill="FFFFFF"/>
        <w:ind w:firstLine="632" w:firstLineChars="200"/>
        <w:rPr>
          <w:szCs w:val="32"/>
        </w:rPr>
      </w:pPr>
      <w:r>
        <w:rPr>
          <w:szCs w:val="32"/>
        </w:rPr>
        <w:t>工程范围：高新片区江苏润科投资发展集团有限公司已建成道路（东至环云台山大道，西至东盐河，南至苍梧路，北至港城大道）；工程内容：建成区内涉及黑臭水体的雨水管网排查和重点路段污水管网排查。原计划3月20日前完工，后受疫情影响，工期顺延。</w:t>
      </w:r>
    </w:p>
    <w:p>
      <w:pPr>
        <w:ind w:firstLine="632" w:firstLineChars="200"/>
        <w:rPr>
          <w:rFonts w:eastAsia="楷体_GB2312"/>
          <w:color w:val="000000"/>
        </w:rPr>
      </w:pPr>
      <w:r>
        <w:rPr>
          <w:rFonts w:eastAsia="楷体_GB2312"/>
          <w:color w:val="000000"/>
        </w:rPr>
        <w:t>（二）一麟路污水管道工程基本情况</w:t>
      </w: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r>
        <w:rPr>
          <w:rFonts w:ascii="Times New Roman" w:hAnsi="Times New Roman" w:eastAsia="仿宋_GB2312"/>
          <w:sz w:val="32"/>
          <w:szCs w:val="32"/>
        </w:rPr>
        <w:t>一麟路污水管道工程为一麟路（凌州路—青峰路）道路工程的分部工程（见图1）。起点为凌州路，终点为青峰路，总长度为682.478米。周边小区污水经管道收集后，经科苑路污水主管网进圣湖路污水提升泵站，最终进入恒隆污水处理厂。建设单位及产权单位均为江苏润科投资发展集团有限公司。</w:t>
      </w: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r>
        <w:rPr>
          <w:rFonts w:ascii="Times New Roman" w:hAnsi="Times New Roman" w:eastAsia="仿宋_GB2312"/>
          <w:sz w:val="32"/>
          <w:szCs w:val="32"/>
        </w:rPr>
        <w:drawing>
          <wp:anchor distT="0" distB="0" distL="114300" distR="114300" simplePos="0" relativeHeight="251659264" behindDoc="0" locked="0" layoutInCell="1" allowOverlap="1">
            <wp:simplePos x="0" y="0"/>
            <wp:positionH relativeFrom="column">
              <wp:posOffset>384810</wp:posOffset>
            </wp:positionH>
            <wp:positionV relativeFrom="paragraph">
              <wp:posOffset>-16510</wp:posOffset>
            </wp:positionV>
            <wp:extent cx="4923155" cy="3101975"/>
            <wp:effectExtent l="19050" t="0" r="0" b="0"/>
            <wp:wrapNone/>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noChangeArrowheads="1"/>
                    </pic:cNvPicPr>
                  </pic:nvPicPr>
                  <pic:blipFill>
                    <a:blip r:embed="rId10"/>
                    <a:srcRect t="7643" b="4299"/>
                    <a:stretch>
                      <a:fillRect/>
                    </a:stretch>
                  </pic:blipFill>
                  <pic:spPr>
                    <a:xfrm>
                      <a:off x="0" y="0"/>
                      <a:ext cx="4923198" cy="3102228"/>
                    </a:xfrm>
                    <a:prstGeom prst="rect">
                      <a:avLst/>
                    </a:prstGeom>
                    <a:noFill/>
                    <a:ln w="9525">
                      <a:noFill/>
                      <a:miter lim="800000"/>
                      <a:headEnd/>
                      <a:tailEnd/>
                    </a:ln>
                  </pic:spPr>
                </pic:pic>
              </a:graphicData>
            </a:graphic>
          </wp:anchor>
        </w:drawing>
      </w: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p>
    <w:p>
      <w:pPr>
        <w:pStyle w:val="11"/>
        <w:spacing w:before="0" w:beforeAutospacing="0" w:after="0" w:afterAutospacing="0" w:line="560" w:lineRule="exact"/>
        <w:ind w:firstLine="632" w:firstLineChars="200"/>
        <w:jc w:val="both"/>
        <w:rPr>
          <w:rFonts w:ascii="Times New Roman" w:hAnsi="Times New Roman" w:eastAsia="仿宋_GB2312"/>
          <w:sz w:val="32"/>
          <w:szCs w:val="32"/>
        </w:rPr>
      </w:pPr>
    </w:p>
    <w:p>
      <w:pPr>
        <w:pStyle w:val="11"/>
        <w:spacing w:before="0" w:beforeAutospacing="0" w:after="0" w:afterAutospacing="0" w:line="480" w:lineRule="exact"/>
        <w:ind w:firstLine="632" w:firstLineChars="200"/>
        <w:jc w:val="both"/>
        <w:rPr>
          <w:rFonts w:ascii="Times New Roman" w:hAnsi="Times New Roman" w:eastAsia="仿宋_GB2312"/>
          <w:sz w:val="32"/>
          <w:szCs w:val="32"/>
        </w:rPr>
      </w:pPr>
    </w:p>
    <w:p>
      <w:pPr>
        <w:pStyle w:val="11"/>
        <w:spacing w:before="0" w:beforeAutospacing="0" w:after="0" w:afterAutospacing="0" w:line="480" w:lineRule="exact"/>
        <w:ind w:firstLine="632" w:firstLineChars="200"/>
        <w:jc w:val="both"/>
        <w:rPr>
          <w:rFonts w:ascii="Times New Roman" w:hAnsi="Times New Roman" w:eastAsia="仿宋_GB2312"/>
          <w:sz w:val="32"/>
          <w:szCs w:val="32"/>
        </w:rPr>
      </w:pPr>
    </w:p>
    <w:p>
      <w:pPr>
        <w:pStyle w:val="11"/>
        <w:spacing w:before="0" w:beforeAutospacing="0" w:after="0" w:afterAutospacing="0" w:line="480" w:lineRule="exact"/>
        <w:ind w:firstLine="1896" w:firstLineChars="600"/>
        <w:rPr>
          <w:rFonts w:ascii="Times New Roman" w:hAnsi="Times New Roman" w:eastAsia="仿宋_GB2312"/>
          <w:sz w:val="32"/>
          <w:szCs w:val="32"/>
        </w:rPr>
      </w:pPr>
      <w:r>
        <w:rPr>
          <w:rFonts w:ascii="Times New Roman" w:hAnsi="Times New Roman" w:eastAsia="仿宋_GB2312"/>
          <w:sz w:val="32"/>
          <w:szCs w:val="32"/>
        </w:rPr>
        <w:t>图1 事故污水管道工程地理位置示意图</w:t>
      </w:r>
    </w:p>
    <w:p>
      <w:pPr>
        <w:ind w:firstLine="632" w:firstLineChars="200"/>
        <w:rPr>
          <w:rFonts w:eastAsia="楷体_GB2312"/>
        </w:rPr>
      </w:pPr>
      <w:r>
        <w:rPr>
          <w:szCs w:val="32"/>
        </w:rPr>
        <w:t>（</w:t>
      </w:r>
      <w:r>
        <w:rPr>
          <w:rFonts w:eastAsia="楷体_GB2312"/>
        </w:rPr>
        <w:t>三）事故相关单位情况</w:t>
      </w:r>
    </w:p>
    <w:p>
      <w:pPr>
        <w:widowControl/>
        <w:shd w:val="clear" w:color="auto" w:fill="FFFFFF"/>
        <w:ind w:firstLine="632" w:firstLineChars="200"/>
        <w:rPr>
          <w:szCs w:val="32"/>
        </w:rPr>
      </w:pPr>
      <w:r>
        <w:rPr>
          <w:szCs w:val="32"/>
        </w:rPr>
        <w:t>1.江苏润科投资发展集团有限公司（以下简称“润科集团”）</w:t>
      </w:r>
    </w:p>
    <w:p>
      <w:pPr>
        <w:shd w:val="clear" w:color="auto" w:fill="FFFFFF"/>
        <w:ind w:firstLine="632" w:firstLineChars="200"/>
        <w:rPr>
          <w:szCs w:val="32"/>
        </w:rPr>
      </w:pPr>
      <w:r>
        <w:rPr>
          <w:szCs w:val="32"/>
        </w:rPr>
        <w:t>统一社会信用代码：91320700554610791B；注册号：91320700554610791B；法定代表人：姜源；类型：有限责任公司；成立日期：2010年04月26日；核准日期：2022年1月04日；经营期限自：2010年04月26日；有效期：长期有效；登记机关：连云港市市场监督管理局；注册住所：连云港市海州区花果山大道17号科技创业城3号楼21层；经营范围：各类工程建设活动；旅游业务（依法须经批准的项目，经相关部门批准后方可开展经营活动，具体经营项目以审批结果为准）一般项目：市政设施管理；园林绿化工程施工；企业管理等。持有房地产开发企业贰级资质。</w:t>
      </w:r>
    </w:p>
    <w:p>
      <w:pPr>
        <w:widowControl/>
        <w:shd w:val="clear" w:color="auto" w:fill="FFFFFF"/>
        <w:ind w:firstLine="632" w:firstLineChars="200"/>
        <w:rPr>
          <w:szCs w:val="32"/>
        </w:rPr>
      </w:pPr>
      <w:r>
        <w:rPr>
          <w:szCs w:val="32"/>
        </w:rPr>
        <w:t>2.连云港市市政公用有限公司（以下简称“市政公用公司”）</w:t>
      </w:r>
    </w:p>
    <w:p>
      <w:pPr>
        <w:widowControl/>
        <w:shd w:val="clear" w:color="auto" w:fill="FFFFFF"/>
        <w:ind w:firstLine="632" w:firstLineChars="200"/>
        <w:rPr>
          <w:szCs w:val="32"/>
        </w:rPr>
      </w:pPr>
      <w:r>
        <w:rPr>
          <w:szCs w:val="32"/>
        </w:rPr>
        <w:t>统一社会信用代码：91320700740665323A；注册号：91320700740665323A；法定代表人：骆军；类型：有限责任公司（非自然人投资或控股的法人独资）；成立日期：2002年07月23日；注册资本：200000万元人民币；核准日期：2021年12月29日；经营期限自：2002年07月23日；有效期：长期有效；登记机关：连云港市市场监督管理局；注册住所：连云港市海州区朝阳东路72号；经营范围：市政府授权范围内国有资产的经营与管理；公共设施运营管理；实业投资；土地整理；房屋租赁；环保工程、市政工程、城市亮化工程、园林绿化工程、房屋建筑工程、水处理工程、防腐保温工程、管</w:t>
      </w:r>
      <w:r>
        <w:rPr>
          <w:rFonts w:hint="eastAsia"/>
          <w:szCs w:val="32"/>
        </w:rPr>
        <w:t>道</w:t>
      </w:r>
      <w:r>
        <w:rPr>
          <w:szCs w:val="32"/>
        </w:rPr>
        <w:t>工程设计及施工；管道设施租赁等。</w:t>
      </w:r>
    </w:p>
    <w:p>
      <w:pPr>
        <w:widowControl/>
        <w:shd w:val="clear" w:color="auto" w:fill="FFFFFF"/>
        <w:ind w:firstLine="632" w:firstLineChars="200"/>
        <w:rPr>
          <w:szCs w:val="32"/>
        </w:rPr>
      </w:pPr>
      <w:r>
        <w:rPr>
          <w:szCs w:val="32"/>
        </w:rPr>
        <w:t>3.连云港城市排水有限公司（以下简称“排水公司”）</w:t>
      </w:r>
    </w:p>
    <w:p>
      <w:pPr>
        <w:widowControl/>
        <w:shd w:val="clear" w:color="auto" w:fill="FFFFFF"/>
        <w:ind w:firstLine="632" w:firstLineChars="200"/>
        <w:rPr>
          <w:szCs w:val="32"/>
        </w:rPr>
      </w:pPr>
      <w:r>
        <w:rPr>
          <w:szCs w:val="32"/>
        </w:rPr>
        <w:t>市政公用公司权属子公司。统一社会信用代码：91320700MA1MKC3C8K；注册号：320700000202005270015；法定代表人：王波；类型：有限责任公司；成立日期：2016年05月05日；注册资本：1000万元人民币；核准日期2021年12月06日；经营期限自：2016年05月05日；有效期：长期有效；登记机关：连云港市市场监督管理局；注册住所：连云港市海州区南极北路56号；经营范围：污水、废水（不含危险废水）、污泥的处理；污水管网、泵站的投资、建设、维护等。持有市政公用工程施工总承包叁级资质。</w:t>
      </w:r>
    </w:p>
    <w:p>
      <w:pPr>
        <w:widowControl/>
        <w:shd w:val="clear" w:color="auto" w:fill="FFFFFF"/>
        <w:ind w:firstLine="632" w:firstLineChars="200"/>
        <w:rPr>
          <w:szCs w:val="32"/>
        </w:rPr>
      </w:pPr>
      <w:r>
        <w:rPr>
          <w:szCs w:val="32"/>
        </w:rPr>
        <w:t>4.淮安朝霆市政工程有限公司（以下简称“淮安朝霆公司”）</w:t>
      </w:r>
    </w:p>
    <w:p>
      <w:pPr>
        <w:widowControl/>
        <w:shd w:val="clear" w:color="auto" w:fill="FFFFFF"/>
        <w:ind w:firstLine="632" w:firstLineChars="200"/>
        <w:rPr>
          <w:szCs w:val="32"/>
        </w:rPr>
      </w:pPr>
      <w:r>
        <w:rPr>
          <w:szCs w:val="32"/>
        </w:rPr>
        <w:t>统一社会信用代码：91320891MA27FKCQ25；法定代表人：王亦武；类型：有限责任公司(自然人独资)；成立日期：2021年11月22日；注册资本：500万元人民币；核准日期2021年11月22日；经营期限自：2021年11月22日；登记机关：淮安经济技术开发区行政审批局；注册住所：淮安经济技术开发区明发星悦城3-2-315室；经营范围：建设工程施工、建设工程设计、市政设施管理等，不包括污水管网维护、市政工程维护，未取得任何资质。</w:t>
      </w:r>
    </w:p>
    <w:p>
      <w:pPr>
        <w:widowControl/>
        <w:shd w:val="clear" w:color="auto" w:fill="FFFFFF"/>
        <w:ind w:firstLine="632" w:firstLineChars="200"/>
        <w:rPr>
          <w:szCs w:val="32"/>
        </w:rPr>
      </w:pPr>
      <w:r>
        <w:rPr>
          <w:szCs w:val="32"/>
        </w:rPr>
        <w:t>5.常熟鑫安市政工程有限公司（以下简称“常熟鑫安公司”）</w:t>
      </w:r>
    </w:p>
    <w:p>
      <w:pPr>
        <w:widowControl/>
        <w:shd w:val="clear" w:color="auto" w:fill="FFFFFF"/>
        <w:ind w:firstLine="632" w:firstLineChars="200"/>
        <w:rPr>
          <w:szCs w:val="32"/>
        </w:rPr>
      </w:pPr>
      <w:r>
        <w:rPr>
          <w:szCs w:val="32"/>
        </w:rPr>
        <w:t>统一社会信用代码：91320581MA25B4HK8F；法定代表人：李素琴；类型：有限责任公司(自然人投资或控股)；成立日期：2021年03月05日；注册资本：2600万元人民币；核准日期2021年12月22日；经营期限自：2021年03月05日；登记机关：常熟市行政审批局；注册住所：常熟市古里镇白茆紫芙沪宜路35-6号；经营范围：各类工程建设活动；房屋建筑和市政基础设施项目工程总承包；市政设施管理；工程管理服务；建筑劳务分包；测绘服务等。持有市政公用工程施工总承包叁级资质。</w:t>
      </w:r>
    </w:p>
    <w:p>
      <w:pPr>
        <w:widowControl/>
        <w:shd w:val="clear" w:color="auto" w:fill="FFFFFF"/>
        <w:ind w:firstLine="632" w:firstLineChars="200"/>
        <w:rPr>
          <w:szCs w:val="32"/>
        </w:rPr>
      </w:pPr>
      <w:r>
        <w:rPr>
          <w:szCs w:val="32"/>
        </w:rPr>
        <w:t>6.永城市盛源环境科技有限公司（以下简称“永城盛源公司”）</w:t>
      </w:r>
    </w:p>
    <w:p>
      <w:pPr>
        <w:widowControl/>
        <w:shd w:val="clear" w:color="auto" w:fill="FFFFFF"/>
        <w:ind w:firstLine="632" w:firstLineChars="200"/>
        <w:rPr>
          <w:szCs w:val="32"/>
        </w:rPr>
      </w:pPr>
      <w:r>
        <w:rPr>
          <w:szCs w:val="32"/>
        </w:rPr>
        <w:t>统一社会信用代码：91411481MA9KQFP2XE；法定代表人：何福状；类型：有限责任公司(自然人投资或控股)；成立日期：2022年02月09日；注册资本：1000万元人民币；核准日期2022年2月22日；经营期限自：2022年02月09日；登记机关：永城市市场监督管理局；注册住所：河南省商丘市永城市大王集镇创业园区8号；经营范围：水环境污染防治服务；对外承包工程；打捞服务工程管理服务；建设工程施工；测绘服务；建设工程勘察；建设工程设计；建设工程质量检测；建筑劳务分包等。</w:t>
      </w:r>
    </w:p>
    <w:p>
      <w:pPr>
        <w:widowControl/>
        <w:shd w:val="clear" w:color="auto" w:fill="FFFFFF"/>
        <w:ind w:firstLine="632" w:firstLineChars="200"/>
        <w:rPr>
          <w:szCs w:val="32"/>
        </w:rPr>
      </w:pPr>
      <w:r>
        <w:rPr>
          <w:szCs w:val="32"/>
        </w:rPr>
        <w:t>7.聂时礼劳务队</w:t>
      </w:r>
    </w:p>
    <w:p>
      <w:pPr>
        <w:widowControl/>
        <w:shd w:val="clear" w:color="auto" w:fill="FFFFFF"/>
        <w:ind w:firstLine="632" w:firstLineChars="200"/>
        <w:rPr>
          <w:szCs w:val="32"/>
        </w:rPr>
      </w:pPr>
      <w:r>
        <w:rPr>
          <w:szCs w:val="32"/>
        </w:rPr>
        <w:t>聂时礼劳务队是以聂时礼为首的，由其亲戚、老乡等人组成的一只作业队伍，共7人，由李素琴联系进场施工。</w:t>
      </w:r>
    </w:p>
    <w:p>
      <w:pPr>
        <w:widowControl/>
        <w:shd w:val="clear" w:color="auto" w:fill="FFFFFF"/>
        <w:ind w:firstLine="632" w:firstLineChars="200"/>
        <w:rPr>
          <w:rFonts w:eastAsia="楷体_GB2312"/>
          <w:szCs w:val="32"/>
        </w:rPr>
      </w:pPr>
      <w:r>
        <w:rPr>
          <w:rFonts w:eastAsia="楷体_GB2312"/>
          <w:szCs w:val="32"/>
        </w:rPr>
        <w:t>（四）高新区地下排水管网排查检测工程发包情况</w:t>
      </w:r>
    </w:p>
    <w:p>
      <w:pPr>
        <w:widowControl/>
        <w:spacing w:line="240" w:lineRule="auto"/>
        <w:ind w:firstLine="632" w:firstLineChars="200"/>
        <w:jc w:val="left"/>
        <w:rPr>
          <w:szCs w:val="32"/>
        </w:rPr>
      </w:pPr>
      <w:r>
        <w:rPr>
          <w:szCs w:val="32"/>
        </w:rPr>
        <mc:AlternateContent>
          <mc:Choice Requires="wps">
            <w:drawing>
              <wp:anchor distT="0" distB="0" distL="114300" distR="114300" simplePos="0" relativeHeight="251672576" behindDoc="0" locked="0" layoutInCell="1" allowOverlap="1">
                <wp:simplePos x="0" y="0"/>
                <wp:positionH relativeFrom="column">
                  <wp:posOffset>-22860</wp:posOffset>
                </wp:positionH>
                <wp:positionV relativeFrom="paragraph">
                  <wp:posOffset>1122680</wp:posOffset>
                </wp:positionV>
                <wp:extent cx="5665470" cy="542925"/>
                <wp:effectExtent l="0" t="0" r="0" b="0"/>
                <wp:wrapNone/>
                <wp:docPr id="14" name="文本框 31"/>
                <wp:cNvGraphicFramePr/>
                <a:graphic xmlns:a="http://schemas.openxmlformats.org/drawingml/2006/main">
                  <a:graphicData uri="http://schemas.microsoft.com/office/word/2010/wordprocessingShape">
                    <wps:wsp>
                      <wps:cNvSpPr txBox="1"/>
                      <wps:spPr>
                        <a:xfrm>
                          <a:off x="0" y="0"/>
                          <a:ext cx="5665470" cy="542925"/>
                        </a:xfrm>
                        <a:prstGeom prst="rect">
                          <a:avLst/>
                        </a:prstGeom>
                        <a:noFill/>
                        <a:ln>
                          <a:noFill/>
                        </a:ln>
                      </wps:spPr>
                      <wps:txbx>
                        <w:txbxContent>
                          <w:p>
                            <w:pPr>
                              <w:spacing w:line="240" w:lineRule="exact"/>
                              <w:ind w:firstLine="0"/>
                              <w:rPr>
                                <w:rFonts w:ascii="仿宋_GB2312"/>
                                <w:sz w:val="15"/>
                                <w:szCs w:val="15"/>
                              </w:rPr>
                            </w:pPr>
                            <w:r>
                              <w:rPr>
                                <w:sz w:val="21"/>
                                <w:szCs w:val="21"/>
                                <w:vertAlign w:val="superscript"/>
                              </w:rPr>
                              <w:t>1</w:t>
                            </w:r>
                            <w:r>
                              <w:rPr>
                                <w:rFonts w:hint="eastAsia" w:ascii="仿宋_GB2312"/>
                                <w:sz w:val="15"/>
                                <w:szCs w:val="15"/>
                              </w:rPr>
                              <w:t xml:space="preserve"> 城建集团领导万宝平、李广春、张勇，市政公用公司、连云港市同城地产集团有限责任公司、润科集团（润科集团党支部书记、董事长姜源，副总经理孙健参会），城建集团安监部等相关责任单位和部门参加会议。根据会议精神，润科集团内部成立了以时任集团总经理高军栋任组长、副总经理孙健任副组长的黑臭水体整治工作领导小组。</w:t>
                            </w:r>
                          </w:p>
                        </w:txbxContent>
                      </wps:txbx>
                      <wps:bodyPr upright="1"/>
                    </wps:wsp>
                  </a:graphicData>
                </a:graphic>
              </wp:anchor>
            </w:drawing>
          </mc:Choice>
          <mc:Fallback>
            <w:pict>
              <v:shape id="文本框 31" o:spid="_x0000_s1026" o:spt="202" type="#_x0000_t202" style="position:absolute;left:0pt;margin-left:-1.8pt;margin-top:88.4pt;height:42.75pt;width:446.1pt;z-index:251672576;mso-width-relative:page;mso-height-relative:page;" filled="f" stroked="f" coordsize="21600,21600" o:gfxdata="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hqUyd9cA&#10;AAAKAQAADwAAAAAAAAABACAAAAAiAAAAZHJzL2Rvd25yZXYueG1sUEsBAhQAFAAAAAgAh07iQFAG&#10;X4KuAQAAUAMAAA4AAAAAAAAAAQAgAAAAJgEAAGRycy9lMm9Eb2MueG1sUEsFBgAAAAAGAAYAWQEA&#10;AEYFAAAAAA==&#10;">
                <v:fill on="f" focussize="0,0"/>
                <v:stroke on="f"/>
                <v:imagedata o:title=""/>
                <o:lock v:ext="edit" aspectratio="f"/>
                <v:textbox>
                  <w:txbxContent>
                    <w:p>
                      <w:pPr>
                        <w:spacing w:line="240" w:lineRule="exact"/>
                        <w:ind w:firstLine="0"/>
                        <w:rPr>
                          <w:rFonts w:ascii="仿宋_GB2312"/>
                          <w:sz w:val="15"/>
                          <w:szCs w:val="15"/>
                        </w:rPr>
                      </w:pPr>
                      <w:r>
                        <w:rPr>
                          <w:sz w:val="21"/>
                          <w:szCs w:val="21"/>
                          <w:vertAlign w:val="superscript"/>
                        </w:rPr>
                        <w:t>1</w:t>
                      </w:r>
                      <w:r>
                        <w:rPr>
                          <w:rFonts w:hint="eastAsia" w:ascii="仿宋_GB2312"/>
                          <w:sz w:val="15"/>
                          <w:szCs w:val="15"/>
                        </w:rPr>
                        <w:t xml:space="preserve"> 城建集团领导万宝平、李广春、张勇，市政公用公司、连云港市同城地产集团有限责任公司、润科集团（润科集团党支部书记、董事长姜源，副总经理孙健参会），城建集团安监部等相关责任单位和部门参加会议。根据会议精神，润科集团内部成立了以时任集团总经理高军栋任组长、副总经理孙健任副组长的黑臭水体整治工作领导小组。</w:t>
                      </w:r>
                    </w:p>
                  </w:txbxContent>
                </v:textbox>
              </v:shape>
            </w:pict>
          </mc:Fallback>
        </mc:AlternateContent>
      </w:r>
      <w:r>
        <w:rPr>
          <w:szCs w:val="32"/>
        </w:rPr>
        <mc:AlternateContent>
          <mc:Choice Requires="wps">
            <w:drawing>
              <wp:anchor distT="0" distB="0" distL="114300" distR="114300" simplePos="0" relativeHeight="251673600" behindDoc="0" locked="0" layoutInCell="1" allowOverlap="1">
                <wp:simplePos x="0" y="0"/>
                <wp:positionH relativeFrom="column">
                  <wp:posOffset>40640</wp:posOffset>
                </wp:positionH>
                <wp:positionV relativeFrom="paragraph">
                  <wp:posOffset>1139825</wp:posOffset>
                </wp:positionV>
                <wp:extent cx="2172970" cy="0"/>
                <wp:effectExtent l="0" t="0" r="0" b="0"/>
                <wp:wrapNone/>
                <wp:docPr id="15" name="自选图形 32"/>
                <wp:cNvGraphicFramePr/>
                <a:graphic xmlns:a="http://schemas.openxmlformats.org/drawingml/2006/main">
                  <a:graphicData uri="http://schemas.microsoft.com/office/word/2010/wordprocessingShape">
                    <wps:wsp>
                      <wps:cNvCnPr/>
                      <wps:spPr>
                        <a:xfrm>
                          <a:off x="0" y="0"/>
                          <a:ext cx="217297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2" o:spid="_x0000_s1026" o:spt="32" type="#_x0000_t32" style="position:absolute;left:0pt;margin-left:3.2pt;margin-top:89.75pt;height:0pt;width:171.1pt;z-index:251673600;mso-width-relative:page;mso-height-relative:page;" filled="f" stroked="t" coordsize="21600,21600" o:gfxdata="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6JXYLXAAAACQEAAA8AAAAAAAAAAQAgAAAAIgAAAGRycy9kb3ducmV2LnhtbFBL&#10;AQIUABQAAAAIAIdO4kDn++i/9wEAAOUDAAAOAAAAAAAAAAEAIAAAACYBAABkcnMvZTJvRG9jLnht&#10;bFBLBQYAAAAABgAGAFkBAACPBQAAAAA=&#10;">
                <v:fill on="f" focussize="0,0"/>
                <v:stroke color="#000000" joinstyle="round"/>
                <v:imagedata o:title=""/>
                <o:lock v:ext="edit" aspectratio="f"/>
              </v:shape>
            </w:pict>
          </mc:Fallback>
        </mc:AlternateContent>
      </w:r>
      <w:r>
        <w:rPr>
          <w:szCs w:val="32"/>
        </w:rPr>
        <w:t>为做好迎接中央生态环境保护督察和相关产权移交工作，2022年2月15日，连云港市城建控股集团（以下简称“城建集团”）召开会议</w:t>
      </w:r>
      <w:r>
        <w:rPr>
          <w:szCs w:val="32"/>
          <w:vertAlign w:val="superscript"/>
        </w:rPr>
        <w:t>1</w:t>
      </w:r>
      <w:r>
        <w:rPr>
          <w:szCs w:val="32"/>
        </w:rPr>
        <w:t>专题研究黑臭水体治理工作并启动相关市政基础设施</w:t>
      </w:r>
      <w:r>
        <w:rPr>
          <w:szCs w:val="32"/>
        </w:rPr>
        <w:br w:type="page"/>
      </w:r>
    </w:p>
    <w:p>
      <w:pPr>
        <w:widowControl/>
        <w:ind w:firstLine="0"/>
        <w:rPr>
          <w:szCs w:val="32"/>
        </w:rPr>
      </w:pPr>
      <w:r>
        <w:rPr>
          <w:szCs w:val="32"/>
        </w:rPr>
        <w:t>整改和移交工作。会议要求加快推进市政排水管网排查等工作，并提出可适用“内部协同机制”</w:t>
      </w:r>
      <w:r>
        <w:rPr>
          <w:szCs w:val="32"/>
          <w:vertAlign w:val="superscript"/>
        </w:rPr>
        <w:t>2</w:t>
      </w:r>
      <w:r>
        <w:rPr>
          <w:szCs w:val="32"/>
        </w:rPr>
        <w:t>的工作要求。</w:t>
      </w:r>
    </w:p>
    <w:p>
      <w:pPr>
        <w:widowControl/>
        <w:shd w:val="clear" w:color="auto" w:fill="FFFFFF"/>
        <w:ind w:firstLine="632" w:firstLineChars="200"/>
        <w:rPr>
          <w:szCs w:val="32"/>
        </w:rPr>
      </w:pPr>
      <w:r>
        <w:rPr>
          <w:szCs w:val="32"/>
        </w:rPr>
        <w:t>会后，润科集团党支部书记、董事长姜源与时任润科集团总经理高军栋、副总经理孙健商议后，决定将高新区地下排水管网排查检测工程交由排水公司协同实施。2月16日，高军栋代表润科集团与排水公司总经理王波、管网运行部部长徐洪泽见面会商，并形成了《关于开展高新区片区市政管网勘查工作的会议记录》。双方约定润科集团在高新区片区已建成市政管网交由排水公司代行建设单位职能并承担安全生产责任，由排水公司负责该片区地下管网排查检测工程。因排水公司现有生产能力无法在限定时间内完成工程，王波决定将部分工程对外分包。徐洪泽根据王波安排，联系淮安朝霆公司法人王亦武，双方经商谈和实地勘查，达成施工意愿，并就项目单价进行了口头约定，初步约定单价为40至50元/米，但双方未签订施工合同和安全生产管理协议。</w:t>
      </w:r>
    </w:p>
    <w:p>
      <w:pPr>
        <w:widowControl/>
        <w:shd w:val="clear" w:color="auto" w:fill="FFFFFF"/>
        <w:ind w:firstLine="632" w:firstLineChars="200"/>
        <w:rPr>
          <w:szCs w:val="32"/>
        </w:rPr>
      </w:pPr>
      <w:r>
        <w:rPr>
          <w:szCs w:val="32"/>
        </w:rPr>
        <w:t>因淮安朝霆公司无项目施工能力和经验，王亦武又联系常熟鑫安公司法人李素琴和永城盛源公司监事张红灿，商定以单价20元/米交由李素琴和张红灿的公司各自组织工人进场施工。截至事故发生时，李素琴共安排包括聂时礼劳务队在内的5个班组进场施工，张红灿安排1个班组进场施工。</w:t>
      </w:r>
    </w:p>
    <w:p>
      <w:pPr>
        <w:widowControl/>
        <w:ind w:firstLine="632" w:firstLineChars="200"/>
        <w:rPr>
          <w:szCs w:val="32"/>
        </w:rPr>
      </w:pPr>
      <w:r>
        <w:rPr>
          <w:szCs w:val="32"/>
          <w:highlight w:val="yellow"/>
        </w:rPr>
        <mc:AlternateContent>
          <mc:Choice Requires="wps">
            <w:drawing>
              <wp:anchor distT="0" distB="0" distL="114300" distR="114300" simplePos="0" relativeHeight="251664384" behindDoc="0" locked="0" layoutInCell="1" allowOverlap="1">
                <wp:simplePos x="0" y="0"/>
                <wp:positionH relativeFrom="column">
                  <wp:posOffset>-44450</wp:posOffset>
                </wp:positionH>
                <wp:positionV relativeFrom="paragraph">
                  <wp:posOffset>273685</wp:posOffset>
                </wp:positionV>
                <wp:extent cx="5665470" cy="939800"/>
                <wp:effectExtent l="0" t="0" r="0" b="0"/>
                <wp:wrapNone/>
                <wp:docPr id="4" name="文本框 24"/>
                <wp:cNvGraphicFramePr/>
                <a:graphic xmlns:a="http://schemas.openxmlformats.org/drawingml/2006/main">
                  <a:graphicData uri="http://schemas.microsoft.com/office/word/2010/wordprocessingShape">
                    <wps:wsp>
                      <wps:cNvSpPr txBox="1"/>
                      <wps:spPr>
                        <a:xfrm>
                          <a:off x="0" y="0"/>
                          <a:ext cx="5665470" cy="939800"/>
                        </a:xfrm>
                        <a:prstGeom prst="rect">
                          <a:avLst/>
                        </a:prstGeom>
                        <a:noFill/>
                        <a:ln>
                          <a:noFill/>
                        </a:ln>
                      </wps:spPr>
                      <wps:txbx>
                        <w:txbxContent>
                          <w:p>
                            <w:pPr>
                              <w:spacing w:line="280" w:lineRule="exact"/>
                              <w:ind w:firstLine="0"/>
                              <w:rPr>
                                <w:rFonts w:ascii="仿宋_GB2312"/>
                                <w:sz w:val="15"/>
                                <w:szCs w:val="15"/>
                              </w:rPr>
                            </w:pPr>
                            <w:r>
                              <w:rPr>
                                <w:sz w:val="21"/>
                                <w:szCs w:val="21"/>
                                <w:vertAlign w:val="superscript"/>
                              </w:rPr>
                              <w:t>2</w:t>
                            </w:r>
                            <w:r>
                              <w:rPr>
                                <w:rFonts w:hint="eastAsia" w:ascii="仿宋_GB2312"/>
                                <w:sz w:val="15"/>
                                <w:szCs w:val="15"/>
                              </w:rPr>
                              <w:t xml:space="preserve"> 经查，城建集团所谓的“内部协同机制”并无专门文件规定，主要以《连云港市城建控股集团有限公司工程建设项目招标管理办法》和《连云港市城建控股集团有限公司采购管理办法》（以下简称《集团招标办法》）等制度为依据。办法明确，项目适用“内部协同机制”的前提是必须符合国家法律法规限定，必须按照城建集团相关制度履行审批手续并签订业务合同。根据《集团招标办法》，对于依法公开招标限额（400万）以下的工程建设项目，集团内部单位具备相应资质条件的，招标单位可以直接发包给该单位。</w:t>
                            </w:r>
                          </w:p>
                        </w:txbxContent>
                      </wps:txbx>
                      <wps:bodyPr upright="1"/>
                    </wps:wsp>
                  </a:graphicData>
                </a:graphic>
              </wp:anchor>
            </w:drawing>
          </mc:Choice>
          <mc:Fallback>
            <w:pict>
              <v:shape id="文本框 24" o:spid="_x0000_s1026" o:spt="202" type="#_x0000_t202" style="position:absolute;left:0pt;margin-left:-3.5pt;margin-top:21.55pt;height:74pt;width:446.1pt;z-index:251664384;mso-width-relative:page;mso-height-relative:page;" filled="f" stroked="f" coordsize="21600,21600" o:gfxdata="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10K1nX&#10;AAAACQEAAA8AAAAAAAAAAQAgAAAAIgAAAGRycy9kb3ducmV2LnhtbFBLAQIUABQAAAAIAIdO4kBq&#10;7ZSerwEAAE8DAAAOAAAAAAAAAAEAIAAAACYBAABkcnMvZTJvRG9jLnhtbFBLBQYAAAAABgAGAFkB&#10;AABHBQAAAAA=&#10;">
                <v:fill on="f" focussize="0,0"/>
                <v:stroke on="f"/>
                <v:imagedata o:title=""/>
                <o:lock v:ext="edit" aspectratio="f"/>
                <v:textbox>
                  <w:txbxContent>
                    <w:p>
                      <w:pPr>
                        <w:spacing w:line="280" w:lineRule="exact"/>
                        <w:ind w:firstLine="0"/>
                        <w:rPr>
                          <w:rFonts w:ascii="仿宋_GB2312"/>
                          <w:sz w:val="15"/>
                          <w:szCs w:val="15"/>
                        </w:rPr>
                      </w:pPr>
                      <w:r>
                        <w:rPr>
                          <w:sz w:val="21"/>
                          <w:szCs w:val="21"/>
                          <w:vertAlign w:val="superscript"/>
                        </w:rPr>
                        <w:t>2</w:t>
                      </w:r>
                      <w:r>
                        <w:rPr>
                          <w:rFonts w:hint="eastAsia" w:ascii="仿宋_GB2312"/>
                          <w:sz w:val="15"/>
                          <w:szCs w:val="15"/>
                        </w:rPr>
                        <w:t xml:space="preserve"> 经查，城建集团所谓的“内部协同机制”并无专门文件规定，主要以《连云港市城建控股集团有限公司工程建设项目招标管理办法》和《连云港市城建控股集团有限公司采购管理办法》（以下简称《集团招标办法》）等制度为依据。办法明确，项目适用“内部协同机制”的前提是必须符合国家法律法规限定，必须按照城建集团相关制度履行审批手续并签订业务合同。根据《集团招标办法》，对于依法公开招标限额（400万）以下的工程建设项目，集团内部单位具备相应资质条件的，招标单位可以直接发包给该单位。</w:t>
                      </w:r>
                    </w:p>
                  </w:txbxContent>
                </v:textbox>
              </v:shape>
            </w:pict>
          </mc:Fallback>
        </mc:AlternateContent>
      </w:r>
      <w:r>
        <w:rPr>
          <w:szCs w:val="32"/>
          <w:highlight w:val="yellow"/>
        </w:rPr>
        <mc:AlternateContent>
          <mc:Choice Requires="wps">
            <w:drawing>
              <wp:anchor distT="0" distB="0" distL="114300" distR="114300" simplePos="0" relativeHeight="251665408" behindDoc="0" locked="0" layoutInCell="1" allowOverlap="1">
                <wp:simplePos x="0" y="0"/>
                <wp:positionH relativeFrom="column">
                  <wp:posOffset>37465</wp:posOffset>
                </wp:positionH>
                <wp:positionV relativeFrom="paragraph">
                  <wp:posOffset>219710</wp:posOffset>
                </wp:positionV>
                <wp:extent cx="2182495" cy="0"/>
                <wp:effectExtent l="0" t="0" r="0" b="0"/>
                <wp:wrapNone/>
                <wp:docPr id="5" name="自选图形 25"/>
                <wp:cNvGraphicFramePr/>
                <a:graphic xmlns:a="http://schemas.openxmlformats.org/drawingml/2006/main">
                  <a:graphicData uri="http://schemas.microsoft.com/office/word/2010/wordprocessingShape">
                    <wps:wsp>
                      <wps:cNvCnPr/>
                      <wps:spPr>
                        <a:xfrm>
                          <a:off x="0" y="0"/>
                          <a:ext cx="218249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5" o:spid="_x0000_s1026" o:spt="32" type="#_x0000_t32" style="position:absolute;left:0pt;margin-left:2.95pt;margin-top:17.3pt;height:0pt;width:171.85pt;z-index:251665408;mso-width-relative:page;mso-height-relative:page;" filled="f" stroked="t" coordsize="21600,21600" o:gfxdata="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eH+P5dUAAAAHAQAADwAAAAAAAAABACAAAAAiAAAAZHJzL2Rvd25yZXYueG1sUEsBAhQA&#10;FAAAAAgAh07iQOaJJhL1AQAA5AMAAA4AAAAAAAAAAQAgAAAAJAEAAGRycy9lMm9Eb2MueG1sUEsF&#10;BgAAAAAGAAYAWQEAAIsFAAAAAA==&#10;">
                <v:fill on="f" focussize="0,0"/>
                <v:stroke color="#000000" joinstyle="round"/>
                <v:imagedata o:title=""/>
                <o:lock v:ext="edit" aspectratio="f"/>
              </v:shape>
            </w:pict>
          </mc:Fallback>
        </mc:AlternateContent>
      </w:r>
      <w:r>
        <w:rPr>
          <w:szCs w:val="32"/>
        </w:rPr>
        <w:br w:type="page"/>
      </w:r>
    </w:p>
    <w:p>
      <w:pPr>
        <w:shd w:val="clear" w:color="auto" w:fill="FFFFFF"/>
        <w:ind w:firstLine="632" w:firstLineChars="200"/>
        <w:rPr>
          <w:rFonts w:eastAsia="楷体_GB2312"/>
          <w:szCs w:val="32"/>
        </w:rPr>
      </w:pPr>
      <w:r>
        <w:rPr>
          <w:rFonts w:eastAsia="楷体_GB2312"/>
          <w:szCs w:val="32"/>
        </w:rPr>
        <w:t>（五）合同签订情况</w:t>
      </w:r>
    </w:p>
    <w:p>
      <w:pPr>
        <w:widowControl/>
        <w:shd w:val="clear" w:color="auto" w:fill="FFFFFF"/>
        <w:ind w:firstLine="632" w:firstLineChars="200"/>
        <w:rPr>
          <w:szCs w:val="32"/>
        </w:rPr>
      </w:pPr>
      <w:r>
        <w:rPr>
          <w:szCs w:val="32"/>
        </w:rPr>
        <w:t>润科集团、排水公司、淮安朝霆公司、常熟鑫安公司、永城盛源公司、聂时礼劳务队之间均未签订任何书面合同或协议，所约定事项均为口头约定。</w:t>
      </w:r>
      <w:r>
        <w:rPr>
          <w:szCs w:val="32"/>
          <w:highlight w:val="white"/>
        </w:rPr>
        <w:t>3月10日，为便于办理疫情防控期间施工班组车辆、人员通行，张红灿通过技术手段，制作了盖有双方公章的高新区雨污水管道检测工程合同。</w:t>
      </w:r>
    </w:p>
    <w:p>
      <w:pPr>
        <w:widowControl/>
        <w:shd w:val="clear" w:color="auto" w:fill="FFFFFF"/>
        <w:ind w:firstLine="632" w:firstLineChars="200"/>
        <w:rPr>
          <w:rFonts w:eastAsia="楷体_GB2312"/>
          <w:szCs w:val="32"/>
        </w:rPr>
      </w:pPr>
      <w:r>
        <w:rPr>
          <w:rFonts w:eastAsia="楷体_GB2312"/>
          <w:szCs w:val="32"/>
        </w:rPr>
        <w:t>（六）工程施工情况</w:t>
      </w:r>
    </w:p>
    <w:p>
      <w:pPr>
        <w:widowControl/>
        <w:shd w:val="clear" w:color="auto" w:fill="FFFFFF"/>
        <w:ind w:firstLine="632" w:firstLineChars="200"/>
        <w:rPr>
          <w:szCs w:val="32"/>
        </w:rPr>
      </w:pPr>
      <w:r>
        <w:rPr>
          <w:szCs w:val="32"/>
        </w:rPr>
        <w:t>3月4日起，李素</w:t>
      </w:r>
      <w:r>
        <w:rPr>
          <w:szCs w:val="32"/>
          <w:highlight w:val="white"/>
        </w:rPr>
        <w:t>琴、张红灿所派6个施工班组陆续进场开始作业</w:t>
      </w:r>
      <w:r>
        <w:rPr>
          <w:szCs w:val="32"/>
        </w:rPr>
        <w:t>。受疫情管控影响，作业10天后，施工班组陆续停工。3月底，施工班组陆续复工。截至事故发生时，已完成约60公里雨水主管网和25公里污水主管网排查检测。</w:t>
      </w:r>
    </w:p>
    <w:p>
      <w:pPr>
        <w:rPr>
          <w:rFonts w:eastAsia="黑体"/>
        </w:rPr>
      </w:pPr>
      <w:r>
        <w:rPr>
          <w:rFonts w:eastAsia="黑体"/>
          <w:color w:val="000000"/>
          <w:szCs w:val="32"/>
        </w:rPr>
        <w:t>二、</w:t>
      </w:r>
      <w:r>
        <w:rPr>
          <w:rFonts w:eastAsia="黑体"/>
        </w:rPr>
        <w:t>事故发生经过和应急救援情况</w:t>
      </w:r>
    </w:p>
    <w:p>
      <w:pPr>
        <w:ind w:firstLine="632" w:firstLineChars="200"/>
        <w:rPr>
          <w:rFonts w:eastAsia="楷体_GB2312"/>
        </w:rPr>
      </w:pPr>
      <w:r>
        <w:rPr>
          <w:rFonts w:eastAsia="楷体_GB2312"/>
        </w:rPr>
        <w:t>（一）事故发生经过</w:t>
      </w:r>
    </w:p>
    <w:p>
      <w:pPr>
        <w:widowControl/>
        <w:spacing w:line="240" w:lineRule="auto"/>
        <w:ind w:firstLine="632" w:firstLineChars="200"/>
        <w:jc w:val="left"/>
        <w:rPr>
          <w:szCs w:val="32"/>
        </w:rPr>
      </w:pPr>
      <w:r>
        <w:rPr>
          <w:szCs w:val="32"/>
        </w:rPr>
        <mc:AlternateContent>
          <mc:Choice Requires="wps">
            <w:drawing>
              <wp:anchor distT="0" distB="0" distL="114300" distR="114300" simplePos="0" relativeHeight="251675648" behindDoc="0" locked="0" layoutInCell="1" allowOverlap="1">
                <wp:simplePos x="0" y="0"/>
                <wp:positionH relativeFrom="column">
                  <wp:posOffset>-8255</wp:posOffset>
                </wp:positionH>
                <wp:positionV relativeFrom="paragraph">
                  <wp:posOffset>2631440</wp:posOffset>
                </wp:positionV>
                <wp:extent cx="2165350" cy="0"/>
                <wp:effectExtent l="0" t="0" r="0" b="0"/>
                <wp:wrapNone/>
                <wp:docPr id="17" name="自选图形 34"/>
                <wp:cNvGraphicFramePr/>
                <a:graphic xmlns:a="http://schemas.openxmlformats.org/drawingml/2006/main">
                  <a:graphicData uri="http://schemas.microsoft.com/office/word/2010/wordprocessingShape">
                    <wps:wsp>
                      <wps:cNvCnPr/>
                      <wps:spPr>
                        <a:xfrm>
                          <a:off x="0" y="0"/>
                          <a:ext cx="21653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4" o:spid="_x0000_s1026" o:spt="32" type="#_x0000_t32" style="position:absolute;left:0pt;margin-left:-0.65pt;margin-top:207.2pt;height:0pt;width:170.5pt;z-index:251675648;mso-width-relative:page;mso-height-relative:page;" filled="f" stroked="t" coordsize="21600,21600" o:gfxdata="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csZuLYAAAACgEAAA8AAAAAAAAAAQAgAAAAIgAAAGRycy9kb3ducmV2LnhtbFBL&#10;AQIUABQAAAAIAIdO4kD81peA9gEAAOUDAAAOAAAAAAAAAAEAIAAAACcBAABkcnMvZTJvRG9jLnht&#10;bFBLBQYAAAAABgAGAFkBAACPBQAAAAA=&#10;">
                <v:fill on="f" focussize="0,0"/>
                <v:stroke color="#000000" joinstyle="round"/>
                <v:imagedata o:title=""/>
                <o:lock v:ext="edit" aspectratio="f"/>
              </v:shape>
            </w:pict>
          </mc:Fallback>
        </mc:AlternateContent>
      </w:r>
      <w:r>
        <w:rPr>
          <w:szCs w:val="32"/>
        </w:rPr>
        <mc:AlternateContent>
          <mc:Choice Requires="wps">
            <w:drawing>
              <wp:anchor distT="0" distB="0" distL="114300" distR="114300" simplePos="0" relativeHeight="251674624" behindDoc="0" locked="0" layoutInCell="1" allowOverlap="1">
                <wp:simplePos x="0" y="0"/>
                <wp:positionH relativeFrom="column">
                  <wp:posOffset>-57150</wp:posOffset>
                </wp:positionH>
                <wp:positionV relativeFrom="paragraph">
                  <wp:posOffset>2631440</wp:posOffset>
                </wp:positionV>
                <wp:extent cx="5665470" cy="848995"/>
                <wp:effectExtent l="0" t="0" r="0" b="0"/>
                <wp:wrapNone/>
                <wp:docPr id="16" name="文本框 33"/>
                <wp:cNvGraphicFramePr/>
                <a:graphic xmlns:a="http://schemas.openxmlformats.org/drawingml/2006/main">
                  <a:graphicData uri="http://schemas.microsoft.com/office/word/2010/wordprocessingShape">
                    <wps:wsp>
                      <wps:cNvSpPr txBox="1"/>
                      <wps:spPr>
                        <a:xfrm>
                          <a:off x="0" y="0"/>
                          <a:ext cx="5665470" cy="848995"/>
                        </a:xfrm>
                        <a:prstGeom prst="rect">
                          <a:avLst/>
                        </a:prstGeom>
                        <a:noFill/>
                        <a:ln>
                          <a:noFill/>
                        </a:ln>
                      </wps:spPr>
                      <wps:txbx>
                        <w:txbxContent>
                          <w:p>
                            <w:pPr>
                              <w:spacing w:line="240" w:lineRule="exact"/>
                              <w:ind w:firstLine="0"/>
                              <w:rPr>
                                <w:rFonts w:ascii="仿宋_GB2312"/>
                                <w:sz w:val="15"/>
                                <w:szCs w:val="15"/>
                              </w:rPr>
                            </w:pPr>
                            <w:r>
                              <w:rPr>
                                <w:rFonts w:hint="eastAsia"/>
                                <w:sz w:val="21"/>
                                <w:szCs w:val="21"/>
                                <w:vertAlign w:val="superscript"/>
                              </w:rPr>
                              <w:t>3</w:t>
                            </w:r>
                            <w:r>
                              <w:rPr>
                                <w:rFonts w:hint="eastAsia" w:ascii="仿宋_GB2312"/>
                                <w:sz w:val="15"/>
                                <w:szCs w:val="15"/>
                              </w:rPr>
                              <w:t xml:space="preserve"> （1）作业准备：打开各检查井通风，打捞各检查井中的飘浮物及垃圾；</w:t>
                            </w:r>
                          </w:p>
                          <w:p>
                            <w:pPr>
                              <w:spacing w:line="240" w:lineRule="exact"/>
                              <w:ind w:firstLine="150" w:firstLineChars="100"/>
                              <w:rPr>
                                <w:rFonts w:ascii="仿宋_GB2312"/>
                                <w:sz w:val="15"/>
                                <w:szCs w:val="15"/>
                              </w:rPr>
                            </w:pPr>
                            <w:r>
                              <w:rPr>
                                <w:rFonts w:hint="eastAsia" w:ascii="仿宋_GB2312"/>
                                <w:sz w:val="15"/>
                                <w:szCs w:val="15"/>
                              </w:rPr>
                              <w:t>（2）管道封堵：使用L型探杆将充气管塞放进要封堵的检查井内，将待施工的检查井相连的管道进行封堵作业；</w:t>
                            </w:r>
                          </w:p>
                          <w:p>
                            <w:pPr>
                              <w:spacing w:line="240" w:lineRule="exact"/>
                              <w:ind w:firstLine="150" w:firstLineChars="100"/>
                              <w:rPr>
                                <w:rFonts w:ascii="仿宋_GB2312"/>
                                <w:sz w:val="15"/>
                                <w:szCs w:val="15"/>
                              </w:rPr>
                            </w:pPr>
                            <w:r>
                              <w:rPr>
                                <w:rFonts w:hint="eastAsia" w:ascii="仿宋_GB2312"/>
                                <w:sz w:val="15"/>
                                <w:szCs w:val="15"/>
                              </w:rPr>
                              <w:t>（3）排水、降水：使用水泵或泵车将待作业的检查井内淤泥上部污水排出，降至可以进行管道CCTV机器人检测水位；</w:t>
                            </w:r>
                          </w:p>
                          <w:p>
                            <w:pPr>
                              <w:spacing w:line="240" w:lineRule="exact"/>
                              <w:ind w:firstLine="150" w:firstLineChars="100"/>
                              <w:rPr>
                                <w:rFonts w:ascii="仿宋_GB2312"/>
                                <w:sz w:val="15"/>
                                <w:szCs w:val="15"/>
                              </w:rPr>
                            </w:pPr>
                            <w:r>
                              <w:rPr>
                                <w:rFonts w:hint="eastAsia" w:ascii="仿宋_GB2312"/>
                                <w:sz w:val="15"/>
                                <w:szCs w:val="15"/>
                              </w:rPr>
                              <w:t>（4）封堵段管道检测：利用CCTV管道机器人对已完成降水的雨污水排水管道进行检测；</w:t>
                            </w:r>
                          </w:p>
                          <w:p>
                            <w:pPr>
                              <w:spacing w:line="240" w:lineRule="exact"/>
                              <w:ind w:firstLine="150" w:firstLineChars="100"/>
                              <w:rPr>
                                <w:rFonts w:ascii="仿宋_GB2312"/>
                                <w:sz w:val="15"/>
                                <w:szCs w:val="15"/>
                              </w:rPr>
                            </w:pPr>
                            <w:r>
                              <w:rPr>
                                <w:rFonts w:hint="eastAsia" w:ascii="仿宋_GB2312"/>
                                <w:sz w:val="15"/>
                                <w:szCs w:val="15"/>
                              </w:rPr>
                              <w:t>（5）封堵段管道解封：人员从地面将充气管塞泄压、解封并使用工具绳取出。</w:t>
                            </w:r>
                          </w:p>
                        </w:txbxContent>
                      </wps:txbx>
                      <wps:bodyPr upright="1"/>
                    </wps:wsp>
                  </a:graphicData>
                </a:graphic>
              </wp:anchor>
            </w:drawing>
          </mc:Choice>
          <mc:Fallback>
            <w:pict>
              <v:shape id="文本框 33" o:spid="_x0000_s1026" o:spt="202" type="#_x0000_t202" style="position:absolute;left:0pt;margin-left:-4.5pt;margin-top:207.2pt;height:66.85pt;width:446.1pt;z-index:251674624;mso-width-relative:page;mso-height-relative:page;" filled="f" stroked="f" coordsize="21600,21600" o:gfxdata="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ukIZd&#10;2AAAAAoBAAAPAAAAAAAAAAEAIAAAACIAAABkcnMvZG93bnJldi54bWxQSwECFAAUAAAACACHTuJA&#10;yF+0G68BAABQAwAADgAAAAAAAAABACAAAAAnAQAAZHJzL2Uyb0RvYy54bWxQSwUGAAAAAAYABgBZ&#10;AQAASAUAAAAA&#10;">
                <v:fill on="f" focussize="0,0"/>
                <v:stroke on="f"/>
                <v:imagedata o:title=""/>
                <o:lock v:ext="edit" aspectratio="f"/>
                <v:textbox>
                  <w:txbxContent>
                    <w:p>
                      <w:pPr>
                        <w:spacing w:line="240" w:lineRule="exact"/>
                        <w:ind w:firstLine="0"/>
                        <w:rPr>
                          <w:rFonts w:ascii="仿宋_GB2312"/>
                          <w:sz w:val="15"/>
                          <w:szCs w:val="15"/>
                        </w:rPr>
                      </w:pPr>
                      <w:r>
                        <w:rPr>
                          <w:rFonts w:hint="eastAsia"/>
                          <w:sz w:val="21"/>
                          <w:szCs w:val="21"/>
                          <w:vertAlign w:val="superscript"/>
                        </w:rPr>
                        <w:t>3</w:t>
                      </w:r>
                      <w:r>
                        <w:rPr>
                          <w:rFonts w:hint="eastAsia" w:ascii="仿宋_GB2312"/>
                          <w:sz w:val="15"/>
                          <w:szCs w:val="15"/>
                        </w:rPr>
                        <w:t xml:space="preserve"> （1）作业准备：打开各检查井通风，打捞各检查井中的飘浮物及垃圾；</w:t>
                      </w:r>
                    </w:p>
                    <w:p>
                      <w:pPr>
                        <w:spacing w:line="240" w:lineRule="exact"/>
                        <w:ind w:firstLine="150" w:firstLineChars="100"/>
                        <w:rPr>
                          <w:rFonts w:ascii="仿宋_GB2312"/>
                          <w:sz w:val="15"/>
                          <w:szCs w:val="15"/>
                        </w:rPr>
                      </w:pPr>
                      <w:r>
                        <w:rPr>
                          <w:rFonts w:hint="eastAsia" w:ascii="仿宋_GB2312"/>
                          <w:sz w:val="15"/>
                          <w:szCs w:val="15"/>
                        </w:rPr>
                        <w:t>（2）管道封堵：使用L型探杆将充气管塞放进要封堵的检查井内，将待施工的检查井相连的管道进行封堵作业；</w:t>
                      </w:r>
                    </w:p>
                    <w:p>
                      <w:pPr>
                        <w:spacing w:line="240" w:lineRule="exact"/>
                        <w:ind w:firstLine="150" w:firstLineChars="100"/>
                        <w:rPr>
                          <w:rFonts w:ascii="仿宋_GB2312"/>
                          <w:sz w:val="15"/>
                          <w:szCs w:val="15"/>
                        </w:rPr>
                      </w:pPr>
                      <w:r>
                        <w:rPr>
                          <w:rFonts w:hint="eastAsia" w:ascii="仿宋_GB2312"/>
                          <w:sz w:val="15"/>
                          <w:szCs w:val="15"/>
                        </w:rPr>
                        <w:t>（3）排水、降水：使用水泵或泵车将待作业的检查井内淤泥上部污水排出，降至可以进行管道CCTV机器人检测水位；</w:t>
                      </w:r>
                    </w:p>
                    <w:p>
                      <w:pPr>
                        <w:spacing w:line="240" w:lineRule="exact"/>
                        <w:ind w:firstLine="150" w:firstLineChars="100"/>
                        <w:rPr>
                          <w:rFonts w:ascii="仿宋_GB2312"/>
                          <w:sz w:val="15"/>
                          <w:szCs w:val="15"/>
                        </w:rPr>
                      </w:pPr>
                      <w:r>
                        <w:rPr>
                          <w:rFonts w:hint="eastAsia" w:ascii="仿宋_GB2312"/>
                          <w:sz w:val="15"/>
                          <w:szCs w:val="15"/>
                        </w:rPr>
                        <w:t>（4）封堵段管道检测：利用CCTV管道机器人对已完成降水的雨污水排水管道进行检测；</w:t>
                      </w:r>
                    </w:p>
                    <w:p>
                      <w:pPr>
                        <w:spacing w:line="240" w:lineRule="exact"/>
                        <w:ind w:firstLine="150" w:firstLineChars="100"/>
                        <w:rPr>
                          <w:rFonts w:ascii="仿宋_GB2312"/>
                          <w:sz w:val="15"/>
                          <w:szCs w:val="15"/>
                        </w:rPr>
                      </w:pPr>
                      <w:r>
                        <w:rPr>
                          <w:rFonts w:hint="eastAsia" w:ascii="仿宋_GB2312"/>
                          <w:sz w:val="15"/>
                          <w:szCs w:val="15"/>
                        </w:rPr>
                        <w:t>（5）封堵段管道解封：人员从地面将充气管塞泄压、解封并使用工具绳取出。</w:t>
                      </w:r>
                    </w:p>
                  </w:txbxContent>
                </v:textbox>
              </v:shape>
            </w:pict>
          </mc:Fallback>
        </mc:AlternateContent>
      </w:r>
      <w:r>
        <w:rPr>
          <w:szCs w:val="32"/>
        </w:rPr>
        <w:t>4月9日7时许，聂时礼劳务队到事故污水井进行作业，按照作业准备→管道封堵→排水、降水→封堵段管道检测→封堵段管道解封的流程</w:t>
      </w:r>
      <w:r>
        <w:rPr>
          <w:szCs w:val="32"/>
          <w:vertAlign w:val="superscript"/>
        </w:rPr>
        <w:t>3</w:t>
      </w:r>
      <w:r>
        <w:rPr>
          <w:szCs w:val="32"/>
        </w:rPr>
        <w:t>开始作业。12时许，封堵段管道检测完成。13时许，开始封堵段管道解封，在解封港利锦绣江南小区排污管道时，发现充气管塞卡在事故污水井内。罗家才将竖梯放至井内，穿下水裤系安全带后进入井内，准备将充气管塞拉出来，两三分钟后，罗家才失去意识，倒入污水中。井上人员立即拉安全带，</w:t>
      </w:r>
      <w:r>
        <w:rPr>
          <w:szCs w:val="32"/>
        </w:rPr>
        <w:br w:type="page"/>
      </w:r>
    </w:p>
    <w:p>
      <w:pPr>
        <w:ind w:firstLine="0"/>
        <w:rPr>
          <w:szCs w:val="32"/>
        </w:rPr>
      </w:pPr>
      <w:r>
        <w:rPr>
          <w:szCs w:val="32"/>
        </w:rPr>
        <w:t>试图将罗家才拖上来，拖拽过程中，因罗家才随身穿戴的安全带脱落，抢救未果。随后聂时礼下井救人，但很</w:t>
      </w:r>
      <w:bookmarkStart w:id="1" w:name="_GoBack"/>
      <w:bookmarkEnd w:id="1"/>
      <w:r>
        <w:rPr>
          <w:szCs w:val="32"/>
        </w:rPr>
        <w:t>快丧失意识倒入污水中。之后余传智仅穿戴安全带下井救人，刚下井后，余传智便喊道“我不行了”，井上人员随即将余传智拉了上来。上井后，余传智躺倒在柏油路上，随即失去意识。</w:t>
      </w:r>
    </w:p>
    <w:p>
      <w:pPr>
        <w:ind w:firstLine="632" w:firstLineChars="200"/>
        <w:rPr>
          <w:rFonts w:eastAsia="楷体_GB2312"/>
        </w:rPr>
      </w:pPr>
      <w:r>
        <w:rPr>
          <w:rFonts w:eastAsia="楷体_GB2312"/>
        </w:rPr>
        <w:t>（二）人员伤亡和直接经济损失</w:t>
      </w:r>
    </w:p>
    <w:p>
      <w:pPr>
        <w:ind w:firstLine="632" w:firstLineChars="200"/>
        <w:rPr>
          <w:szCs w:val="32"/>
        </w:rPr>
      </w:pPr>
      <w:r>
        <w:rPr>
          <w:szCs w:val="32"/>
        </w:rPr>
        <w:t>1.人员伤亡情况</w:t>
      </w:r>
    </w:p>
    <w:p>
      <w:pPr>
        <w:ind w:firstLine="632" w:firstLineChars="200"/>
        <w:rPr>
          <w:szCs w:val="32"/>
        </w:rPr>
      </w:pPr>
      <w:r>
        <w:rPr>
          <w:szCs w:val="32"/>
        </w:rPr>
        <w:t>本次事故共造成2名作业人员死亡，1人受伤。伤亡人员信息如下：</w:t>
      </w:r>
    </w:p>
    <w:p>
      <w:pPr>
        <w:ind w:firstLine="632" w:firstLineChars="200"/>
        <w:rPr>
          <w:szCs w:val="32"/>
        </w:rPr>
      </w:pPr>
      <w:r>
        <w:rPr>
          <w:szCs w:val="32"/>
        </w:rPr>
        <w:t>1.罗家才，男，52岁，汉族，户籍地址：江西省瑞昌市九源管理区李坂村，身份证号：360422********0817，死亡。</w:t>
      </w:r>
    </w:p>
    <w:p>
      <w:pPr>
        <w:ind w:firstLine="632" w:firstLineChars="200"/>
        <w:rPr>
          <w:szCs w:val="32"/>
        </w:rPr>
      </w:pPr>
      <w:r>
        <w:rPr>
          <w:szCs w:val="32"/>
        </w:rPr>
        <w:t>2.聂时礼，男，51岁，汉族，户籍地址：江西省瑞昌市赛湖农场三分厂五大队，身份证号：360481********5611，死亡。</w:t>
      </w:r>
    </w:p>
    <w:p>
      <w:pPr>
        <w:ind w:firstLine="632" w:firstLineChars="200"/>
        <w:rPr>
          <w:szCs w:val="32"/>
        </w:rPr>
      </w:pPr>
      <w:r>
        <w:rPr>
          <w:szCs w:val="32"/>
        </w:rPr>
        <w:t>3.余传智，男，39岁，汉族，户籍地址：江西省瑞昌市赛湖农场三分场七大队苏家墩新村，身份证号：360481********5610，受伤。</w:t>
      </w:r>
    </w:p>
    <w:p>
      <w:pPr>
        <w:ind w:firstLine="632" w:firstLineChars="200"/>
        <w:rPr>
          <w:szCs w:val="32"/>
        </w:rPr>
      </w:pPr>
      <w:r>
        <w:rPr>
          <w:szCs w:val="32"/>
        </w:rPr>
        <w:t>2.事故直接经济损失</w:t>
      </w:r>
    </w:p>
    <w:p>
      <w:pPr>
        <w:ind w:firstLine="632" w:firstLineChars="200"/>
        <w:rPr>
          <w:szCs w:val="32"/>
        </w:rPr>
      </w:pPr>
      <w:r>
        <w:rPr>
          <w:szCs w:val="32"/>
        </w:rPr>
        <w:t>本次事故共造成直接经济损失321万元。</w:t>
      </w:r>
    </w:p>
    <w:p>
      <w:pPr>
        <w:ind w:firstLine="632" w:firstLineChars="200"/>
        <w:rPr>
          <w:rFonts w:eastAsia="楷体_GB2312"/>
        </w:rPr>
      </w:pPr>
      <w:r>
        <w:rPr>
          <w:rFonts w:eastAsia="楷体_GB2312"/>
        </w:rPr>
        <w:t>（三）应急救援及善后处置情况</w:t>
      </w:r>
    </w:p>
    <w:p>
      <w:pPr>
        <w:ind w:firstLine="632" w:firstLineChars="200"/>
        <w:rPr>
          <w:szCs w:val="32"/>
        </w:rPr>
      </w:pPr>
      <w:r>
        <w:rPr>
          <w:szCs w:val="32"/>
        </w:rPr>
        <w:t>1.应急救援情况</w:t>
      </w:r>
    </w:p>
    <w:p>
      <w:pPr>
        <w:ind w:firstLine="632" w:firstLineChars="200"/>
        <w:rPr>
          <w:szCs w:val="32"/>
        </w:rPr>
      </w:pPr>
      <w:r>
        <w:rPr>
          <w:szCs w:val="32"/>
        </w:rPr>
        <w:t>4月9日13时41分，市119指挥中心接到报警称：海州区港利锦绣江南小区东门2名工人被困井下。接警后，119指挥中心立即调派青峰路消防站、花果山特勤消防站，共计3台消防车、15名消防救援人员赶赴事故现场，消防支队全勤指挥部遂警出动。13时46分，消防救援人员到达事故现场后立即展开救援工作。高新区公安分局13时39分接报事故信息后，立即组织警力赶到现场组织现场警戒和秩序管控，并协助消防救援人员开展施救工作。经全力搜救，2名被困人员分别于14时45分、15时15分被救出，并紧急送至市第一人民医院救治，因抢救无效，分别于19时08分、19时10分死亡。伤者余传智于14时15分送至市第一人民医院救治。</w:t>
      </w:r>
    </w:p>
    <w:p>
      <w:pPr>
        <w:ind w:firstLine="632" w:firstLineChars="200"/>
        <w:rPr>
          <w:szCs w:val="32"/>
        </w:rPr>
      </w:pPr>
      <w:r>
        <w:rPr>
          <w:szCs w:val="32"/>
        </w:rPr>
        <w:t>14时40分，排水公司负责人王波接到事故报告后，立即启动应急预案，向相关部门及城建集团上报。城建集团、润科集团、市政公用公司有关领导，郁州街道、海州区应急局、住建局等相关部门人员相继到达事故现场，全力开展现场救援。</w:t>
      </w:r>
    </w:p>
    <w:p>
      <w:pPr>
        <w:ind w:firstLine="632" w:firstLineChars="200"/>
        <w:rPr>
          <w:szCs w:val="32"/>
        </w:rPr>
      </w:pPr>
      <w:r>
        <w:rPr>
          <w:szCs w:val="32"/>
        </w:rPr>
        <w:t>2.善后处置情况</w:t>
      </w:r>
    </w:p>
    <w:p>
      <w:pPr>
        <w:ind w:firstLine="632" w:firstLineChars="200"/>
        <w:rPr>
          <w:szCs w:val="32"/>
        </w:rPr>
      </w:pPr>
      <w:r>
        <w:rPr>
          <w:szCs w:val="32"/>
        </w:rPr>
        <w:t>排水公司事故当天成立</w:t>
      </w:r>
      <w:r>
        <w:rPr>
          <w:kern w:val="0"/>
          <w:szCs w:val="32"/>
        </w:rPr>
        <w:t>“4•9”</w:t>
      </w:r>
      <w:r>
        <w:rPr>
          <w:szCs w:val="32"/>
        </w:rPr>
        <w:t>事故应急处置领导小组，经多轮沟通协商，分别于4月14日、15日与遇难者家属签订代补偿协议和谅解书。4月20日与伤者余传智就受伤赔偿达成一致意见，伤者于当日出院结束治疗。4月26日，2名死者于市殡仪馆火化，死者家属于当日离连返回江西。</w:t>
      </w:r>
    </w:p>
    <w:p>
      <w:pPr>
        <w:pStyle w:val="32"/>
        <w:shd w:val="clear" w:color="auto" w:fill="FFFFFF"/>
        <w:spacing w:before="0" w:beforeAutospacing="0" w:after="0" w:afterAutospacing="0" w:line="560" w:lineRule="exact"/>
        <w:ind w:firstLine="632" w:firstLineChars="200"/>
        <w:jc w:val="both"/>
        <w:rPr>
          <w:rFonts w:ascii="Times New Roman" w:hAnsi="Times New Roman" w:eastAsia="黑体" w:cs="Times New Roman"/>
          <w:bCs/>
          <w:color w:val="000000"/>
          <w:sz w:val="32"/>
          <w:szCs w:val="32"/>
        </w:rPr>
      </w:pPr>
      <w:r>
        <w:rPr>
          <w:rFonts w:ascii="Times New Roman" w:hAnsi="Times New Roman" w:eastAsia="黑体" w:cs="Times New Roman"/>
          <w:sz w:val="32"/>
          <w:szCs w:val="32"/>
        </w:rPr>
        <w:t>三、</w:t>
      </w:r>
      <w:r>
        <w:rPr>
          <w:rFonts w:ascii="Times New Roman" w:hAnsi="Times New Roman" w:eastAsia="黑体" w:cs="Times New Roman"/>
          <w:bCs/>
          <w:color w:val="000000"/>
          <w:sz w:val="32"/>
          <w:szCs w:val="32"/>
        </w:rPr>
        <w:t>现场勘查和检测分析情况</w:t>
      </w:r>
    </w:p>
    <w:p>
      <w:pPr>
        <w:rPr>
          <w:rFonts w:eastAsia="楷体_GB2312"/>
          <w:color w:val="000000"/>
          <w:szCs w:val="32"/>
        </w:rPr>
      </w:pPr>
      <w:r>
        <w:rPr>
          <w:rFonts w:eastAsia="楷体_GB2312"/>
          <w:color w:val="000000"/>
          <w:szCs w:val="32"/>
        </w:rPr>
        <w:t>（一）现场勘查情况</w:t>
      </w:r>
    </w:p>
    <w:p>
      <w:pPr>
        <w:widowControl/>
        <w:spacing w:line="240" w:lineRule="auto"/>
        <w:ind w:firstLine="632" w:firstLineChars="200"/>
        <w:rPr>
          <w:color w:val="000000"/>
          <w:szCs w:val="32"/>
        </w:rPr>
      </w:pPr>
      <w:r>
        <w:rPr>
          <w:color w:val="000000"/>
          <w:szCs w:val="32"/>
        </w:rPr>
        <w:drawing>
          <wp:anchor distT="0" distB="0" distL="114300" distR="114300" simplePos="0" relativeHeight="251660288" behindDoc="0" locked="0" layoutInCell="1" allowOverlap="1">
            <wp:simplePos x="0" y="0"/>
            <wp:positionH relativeFrom="column">
              <wp:posOffset>260350</wp:posOffset>
            </wp:positionH>
            <wp:positionV relativeFrom="paragraph">
              <wp:posOffset>1061720</wp:posOffset>
            </wp:positionV>
            <wp:extent cx="5083810" cy="3390900"/>
            <wp:effectExtent l="19050" t="0" r="2540" b="0"/>
            <wp:wrapNone/>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11"/>
                    <a:srcRect/>
                    <a:stretch>
                      <a:fillRect/>
                    </a:stretch>
                  </pic:blipFill>
                  <pic:spPr>
                    <a:xfrm>
                      <a:off x="0" y="0"/>
                      <a:ext cx="5083810" cy="3390900"/>
                    </a:xfrm>
                    <a:prstGeom prst="rect">
                      <a:avLst/>
                    </a:prstGeom>
                    <a:noFill/>
                    <a:ln w="9525">
                      <a:noFill/>
                      <a:miter lim="800000"/>
                      <a:headEnd/>
                      <a:tailEnd/>
                    </a:ln>
                  </pic:spPr>
                </pic:pic>
              </a:graphicData>
            </a:graphic>
          </wp:anchor>
        </w:drawing>
      </w:r>
      <w:r>
        <w:rPr>
          <w:color w:val="000000"/>
          <w:szCs w:val="32"/>
        </w:rPr>
        <w:t>事故污水井位于港利锦绣江南东门（见图2），进水闸门井井盖为球墨铸铁井盖，井盖直径DN700mm，打开井盖后，可见污水，距井口约1.1米，并散发出刺激性气味。</w:t>
      </w:r>
    </w:p>
    <w:p>
      <w:pPr>
        <w:rPr>
          <w:color w:val="000000"/>
          <w:szCs w:val="32"/>
        </w:rPr>
      </w:pPr>
    </w:p>
    <w:p>
      <w:pPr>
        <w:rPr>
          <w:color w:val="000000"/>
          <w:szCs w:val="32"/>
        </w:rPr>
      </w:pPr>
    </w:p>
    <w:p>
      <w:pPr>
        <w:rPr>
          <w:color w:val="000000"/>
          <w:szCs w:val="32"/>
        </w:rPr>
      </w:pPr>
    </w:p>
    <w:p>
      <w:pPr>
        <w:spacing w:line="440" w:lineRule="exact"/>
        <w:rPr>
          <w:color w:val="000000"/>
          <w:szCs w:val="32"/>
        </w:rPr>
      </w:pPr>
    </w:p>
    <w:p>
      <w:pPr>
        <w:spacing w:line="440" w:lineRule="exact"/>
        <w:rPr>
          <w:color w:val="000000"/>
          <w:szCs w:val="32"/>
        </w:rPr>
      </w:pPr>
    </w:p>
    <w:p>
      <w:pPr>
        <w:spacing w:line="440" w:lineRule="exact"/>
        <w:rPr>
          <w:color w:val="000000"/>
          <w:szCs w:val="32"/>
        </w:rPr>
      </w:pPr>
      <w:r>
        <w:rPr>
          <w:color w:val="000000"/>
          <w:szCs w:val="32"/>
        </w:rPr>
        <mc:AlternateContent>
          <mc:Choice Requires="wps">
            <w:drawing>
              <wp:anchor distT="0" distB="0" distL="114300" distR="114300" simplePos="0" relativeHeight="251661312" behindDoc="0" locked="0" layoutInCell="1" allowOverlap="1">
                <wp:simplePos x="0" y="0"/>
                <wp:positionH relativeFrom="column">
                  <wp:posOffset>2329815</wp:posOffset>
                </wp:positionH>
                <wp:positionV relativeFrom="paragraph">
                  <wp:posOffset>271780</wp:posOffset>
                </wp:positionV>
                <wp:extent cx="869315" cy="280670"/>
                <wp:effectExtent l="4445" t="203200" r="21590" b="11430"/>
                <wp:wrapNone/>
                <wp:docPr id="2" name="自选图形 22"/>
                <wp:cNvGraphicFramePr/>
                <a:graphic xmlns:a="http://schemas.openxmlformats.org/drawingml/2006/main">
                  <a:graphicData uri="http://schemas.microsoft.com/office/word/2010/wordprocessingShape">
                    <wps:wsp>
                      <wps:cNvSpPr/>
                      <wps:spPr>
                        <a:xfrm>
                          <a:off x="0" y="0"/>
                          <a:ext cx="869315" cy="280670"/>
                        </a:xfrm>
                        <a:prstGeom prst="wedgeRectCallout">
                          <a:avLst>
                            <a:gd name="adj1" fmla="val 912"/>
                            <a:gd name="adj2" fmla="val -118102"/>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firstLine="0"/>
                              <w:rPr>
                                <w:b/>
                                <w:sz w:val="21"/>
                                <w:szCs w:val="21"/>
                              </w:rPr>
                            </w:pPr>
                            <w:r>
                              <w:rPr>
                                <w:b/>
                                <w:sz w:val="21"/>
                                <w:szCs w:val="21"/>
                              </w:rPr>
                              <w:t>事故污水井</w:t>
                            </w:r>
                          </w:p>
                        </w:txbxContent>
                      </wps:txbx>
                      <wps:bodyPr upright="1"/>
                    </wps:wsp>
                  </a:graphicData>
                </a:graphic>
              </wp:anchor>
            </w:drawing>
          </mc:Choice>
          <mc:Fallback>
            <w:pict>
              <v:shape id="自选图形 22" o:spid="_x0000_s1026" o:spt="61" type="#_x0000_t61" style="position:absolute;left:0pt;margin-left:183.45pt;margin-top:21.4pt;height:22.1pt;width:68.45pt;z-index:251661312;mso-width-relative:page;mso-height-relative:page;" fillcolor="#FFFFFF" filled="t" stroked="t" coordsize="21600,21600" o:gfxdata="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dfEg9wAAAAJAQAADwAAAAAAAAABACAAAAAiAAAA&#10;ZHJzL2Rvd25yZXYueG1sUEsBAhQAFAAAAAgAh07iQDpsAYg8AgAAjAQAAA4AAAAAAAAAAQAgAAAA&#10;KwEAAGRycy9lMm9Eb2MueG1sUEsFBgAAAAAGAAYAWQEAANkFAAAAAA==&#10;" adj="10997,-14710">
                <v:fill on="t" focussize="0,0"/>
                <v:stroke color="#000000" joinstyle="miter"/>
                <v:imagedata o:title=""/>
                <o:lock v:ext="edit" aspectratio="f"/>
                <v:textbox>
                  <w:txbxContent>
                    <w:p>
                      <w:pPr>
                        <w:spacing w:line="240" w:lineRule="exact"/>
                        <w:ind w:firstLine="0"/>
                        <w:rPr>
                          <w:b/>
                          <w:sz w:val="21"/>
                          <w:szCs w:val="21"/>
                        </w:rPr>
                      </w:pPr>
                      <w:r>
                        <w:rPr>
                          <w:b/>
                          <w:sz w:val="21"/>
                          <w:szCs w:val="21"/>
                        </w:rPr>
                        <w:t>事故污水井</w:t>
                      </w:r>
                    </w:p>
                  </w:txbxContent>
                </v:textbox>
              </v:shape>
            </w:pict>
          </mc:Fallback>
        </mc:AlternateContent>
      </w:r>
    </w:p>
    <w:p>
      <w:pPr>
        <w:spacing w:line="440" w:lineRule="exact"/>
        <w:rPr>
          <w:color w:val="000000"/>
          <w:szCs w:val="32"/>
        </w:rPr>
      </w:pPr>
    </w:p>
    <w:p>
      <w:pPr>
        <w:spacing w:line="440" w:lineRule="exact"/>
        <w:rPr>
          <w:color w:val="000000"/>
          <w:szCs w:val="32"/>
        </w:rPr>
      </w:pPr>
    </w:p>
    <w:p>
      <w:pPr>
        <w:spacing w:line="440" w:lineRule="exact"/>
        <w:rPr>
          <w:color w:val="000000"/>
          <w:szCs w:val="32"/>
        </w:rPr>
      </w:pPr>
      <w:r>
        <w:rPr>
          <w:color w:val="000000"/>
          <w:szCs w:val="32"/>
        </w:rPr>
        <mc:AlternateContent>
          <mc:Choice Requires="wps">
            <w:drawing>
              <wp:anchor distT="0" distB="0" distL="114300" distR="114300" simplePos="0" relativeHeight="251662336" behindDoc="0" locked="0" layoutInCell="1" allowOverlap="1">
                <wp:simplePos x="0" y="0"/>
                <wp:positionH relativeFrom="column">
                  <wp:posOffset>3348990</wp:posOffset>
                </wp:positionH>
                <wp:positionV relativeFrom="paragraph">
                  <wp:posOffset>122555</wp:posOffset>
                </wp:positionV>
                <wp:extent cx="1086485" cy="280670"/>
                <wp:effectExtent l="283210" t="4445" r="20955" b="248285"/>
                <wp:wrapNone/>
                <wp:docPr id="3" name="自选图形 23"/>
                <wp:cNvGraphicFramePr/>
                <a:graphic xmlns:a="http://schemas.openxmlformats.org/drawingml/2006/main">
                  <a:graphicData uri="http://schemas.microsoft.com/office/word/2010/wordprocessingShape">
                    <wps:wsp>
                      <wps:cNvSpPr/>
                      <wps:spPr>
                        <a:xfrm>
                          <a:off x="0" y="0"/>
                          <a:ext cx="1086485" cy="280670"/>
                        </a:xfrm>
                        <a:prstGeom prst="wedgeRectCallout">
                          <a:avLst>
                            <a:gd name="adj1" fmla="val -72792"/>
                            <a:gd name="adj2" fmla="val 129639"/>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firstLine="0"/>
                              <w:rPr>
                                <w:b/>
                                <w:sz w:val="21"/>
                                <w:szCs w:val="21"/>
                              </w:rPr>
                            </w:pPr>
                            <w:r>
                              <w:rPr>
                                <w:rFonts w:hint="eastAsia"/>
                                <w:b/>
                                <w:sz w:val="21"/>
                                <w:szCs w:val="21"/>
                              </w:rPr>
                              <w:t>港利锦绣</w:t>
                            </w:r>
                            <w:r>
                              <w:rPr>
                                <w:b/>
                                <w:sz w:val="21"/>
                                <w:szCs w:val="21"/>
                              </w:rPr>
                              <w:t>江南</w:t>
                            </w:r>
                          </w:p>
                        </w:txbxContent>
                      </wps:txbx>
                      <wps:bodyPr upright="1"/>
                    </wps:wsp>
                  </a:graphicData>
                </a:graphic>
              </wp:anchor>
            </w:drawing>
          </mc:Choice>
          <mc:Fallback>
            <w:pict>
              <v:shape id="自选图形 23" o:spid="_x0000_s1026" o:spt="61" type="#_x0000_t61" style="position:absolute;left:0pt;margin-left:263.7pt;margin-top:9.65pt;height:22.1pt;width:85.55pt;z-index:251662336;mso-width-relative:page;mso-height-relative:page;" fillcolor="#FFFFFF" filled="t" stroked="t" coordsize="21600,21600" o:gfxdata="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UVs7nXAAAACQEAAA8AAAAAAAAAAQAgAAAAIgAAAGRycy9k&#10;b3ducmV2LnhtbFBLAQIUABQAAAAIAIdO4kDehOO1PAIAAI8EAAAOAAAAAAAAAAEAIAAAACYBAABk&#10;cnMvZTJvRG9jLnhtbFBLBQYAAAAABgAGAFkBAADUBQAAAAA=&#10;" adj="-4923,38802">
                <v:fill on="t" focussize="0,0"/>
                <v:stroke color="#000000" joinstyle="miter"/>
                <v:imagedata o:title=""/>
                <o:lock v:ext="edit" aspectratio="f"/>
                <v:textbox>
                  <w:txbxContent>
                    <w:p>
                      <w:pPr>
                        <w:spacing w:line="240" w:lineRule="exact"/>
                        <w:ind w:firstLine="0"/>
                        <w:rPr>
                          <w:b/>
                          <w:sz w:val="21"/>
                          <w:szCs w:val="21"/>
                        </w:rPr>
                      </w:pPr>
                      <w:r>
                        <w:rPr>
                          <w:rFonts w:hint="eastAsia"/>
                          <w:b/>
                          <w:sz w:val="21"/>
                          <w:szCs w:val="21"/>
                        </w:rPr>
                        <w:t>港利锦绣</w:t>
                      </w:r>
                      <w:r>
                        <w:rPr>
                          <w:b/>
                          <w:sz w:val="21"/>
                          <w:szCs w:val="21"/>
                        </w:rPr>
                        <w:t>江南</w:t>
                      </w:r>
                    </w:p>
                  </w:txbxContent>
                </v:textbox>
              </v:shape>
            </w:pict>
          </mc:Fallback>
        </mc:AlternateContent>
      </w:r>
    </w:p>
    <w:p>
      <w:pPr>
        <w:spacing w:line="440" w:lineRule="exact"/>
        <w:rPr>
          <w:color w:val="000000"/>
          <w:szCs w:val="32"/>
        </w:rPr>
      </w:pPr>
    </w:p>
    <w:p>
      <w:pPr>
        <w:spacing w:line="440" w:lineRule="exact"/>
        <w:ind w:firstLine="2528" w:firstLineChars="800"/>
        <w:rPr>
          <w:color w:val="000000"/>
          <w:szCs w:val="32"/>
        </w:rPr>
      </w:pPr>
    </w:p>
    <w:p>
      <w:pPr>
        <w:spacing w:line="480" w:lineRule="exact"/>
        <w:ind w:firstLine="2528" w:firstLineChars="800"/>
        <w:rPr>
          <w:color w:val="000000"/>
          <w:szCs w:val="32"/>
        </w:rPr>
      </w:pPr>
      <w:r>
        <w:rPr>
          <w:color w:val="000000"/>
          <w:szCs w:val="32"/>
        </w:rPr>
        <w:t>图2 事故现场航拍图</w:t>
      </w:r>
    </w:p>
    <w:p>
      <w:pPr>
        <w:ind w:firstLine="632" w:firstLineChars="200"/>
        <w:rPr>
          <w:rFonts w:eastAsia="楷体_GB2312"/>
          <w:color w:val="000000"/>
        </w:rPr>
      </w:pPr>
      <w:r>
        <w:rPr>
          <w:rFonts w:eastAsia="楷体_GB2312"/>
          <w:color w:val="000000"/>
        </w:rPr>
        <w:t>（二）事故污水井基本情况</w:t>
      </w:r>
    </w:p>
    <w:p>
      <w:pPr>
        <w:widowControl/>
        <w:spacing w:line="240" w:lineRule="auto"/>
        <w:ind w:firstLine="632" w:firstLineChars="200"/>
        <w:rPr>
          <w:szCs w:val="32"/>
        </w:rPr>
      </w:pPr>
      <w:r>
        <w:rPr>
          <w:szCs w:val="32"/>
        </w:rPr>
        <w:t>事故污水井为一麟路污水管道W-19号井（见图3），位于港利锦绣江南小区东门附近。事故污水井分别接受来自西侧港利锦绣江南小区、东侧四季金辉二期小区以及南侧市政污水管网的污水。事故井深4.5米，井室尺寸长1.2米、宽1.2米、高约2.2米，井室顶端距地面约2.3米，井口直径DN600mm。井室内共有四条管道，南北方向管道为污水主管道，管径DN500mm；东西两侧为支管，西侧管道接入港利锦绣江南小区，管径DN300mm；东侧管道接入四季金辉二期小区，管径DN300mm（见图4）。</w:t>
      </w:r>
    </w:p>
    <w:p>
      <w:pPr>
        <w:ind w:firstLine="632" w:firstLineChars="200"/>
        <w:rPr>
          <w:szCs w:val="32"/>
        </w:rPr>
      </w:pPr>
    </w:p>
    <w:p>
      <w:pPr>
        <w:pStyle w:val="11"/>
        <w:spacing w:before="0" w:beforeAutospacing="0" w:after="0" w:afterAutospacing="0" w:line="560" w:lineRule="exact"/>
        <w:ind w:firstLine="632" w:firstLineChars="200"/>
        <w:rPr>
          <w:rFonts w:ascii="Times New Roman" w:hAnsi="Times New Roman" w:eastAsia="仿宋_GB2312"/>
          <w:sz w:val="32"/>
          <w:szCs w:val="32"/>
        </w:rPr>
      </w:pPr>
    </w:p>
    <w:p>
      <w:pPr>
        <w:pStyle w:val="11"/>
        <w:spacing w:before="0" w:beforeAutospacing="0" w:after="0" w:afterAutospacing="0" w:line="560" w:lineRule="exact"/>
        <w:ind w:firstLine="632" w:firstLineChars="200"/>
        <w:rPr>
          <w:rFonts w:ascii="Times New Roman" w:hAnsi="Times New Roman" w:eastAsia="仿宋_GB2312"/>
          <w:sz w:val="32"/>
          <w:szCs w:val="32"/>
        </w:rPr>
      </w:pPr>
      <w:r>
        <w:rPr>
          <w:rFonts w:ascii="Times New Roman" w:hAnsi="Times New Roman" w:eastAsia="仿宋_GB2312"/>
          <w:sz w:val="32"/>
          <w:szCs w:val="32"/>
        </w:rPr>
        <w:drawing>
          <wp:anchor distT="0" distB="0" distL="114300" distR="114300" simplePos="0" relativeHeight="251668480" behindDoc="0" locked="0" layoutInCell="1" allowOverlap="1">
            <wp:simplePos x="0" y="0"/>
            <wp:positionH relativeFrom="column">
              <wp:posOffset>295275</wp:posOffset>
            </wp:positionH>
            <wp:positionV relativeFrom="paragraph">
              <wp:posOffset>-712470</wp:posOffset>
            </wp:positionV>
            <wp:extent cx="4928235" cy="3310255"/>
            <wp:effectExtent l="19050" t="0" r="7153" b="0"/>
            <wp:wrapNone/>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noChangeArrowheads="1"/>
                    </pic:cNvPicPr>
                  </pic:nvPicPr>
                  <pic:blipFill>
                    <a:blip r:embed="rId12"/>
                    <a:srcRect t="2276" b="1789"/>
                    <a:stretch>
                      <a:fillRect/>
                    </a:stretch>
                  </pic:blipFill>
                  <pic:spPr>
                    <a:xfrm>
                      <a:off x="0" y="0"/>
                      <a:ext cx="4926797" cy="3309792"/>
                    </a:xfrm>
                    <a:prstGeom prst="rect">
                      <a:avLst/>
                    </a:prstGeom>
                    <a:noFill/>
                    <a:ln w="9525">
                      <a:noFill/>
                      <a:miter lim="800000"/>
                      <a:headEnd/>
                      <a:tailEnd/>
                    </a:ln>
                  </pic:spPr>
                </pic:pic>
              </a:graphicData>
            </a:graphic>
          </wp:anchor>
        </w:drawing>
      </w:r>
    </w:p>
    <w:p>
      <w:pPr>
        <w:pStyle w:val="11"/>
        <w:spacing w:before="0" w:beforeAutospacing="0" w:after="0" w:afterAutospacing="0" w:line="560" w:lineRule="exact"/>
        <w:ind w:firstLine="632" w:firstLineChars="200"/>
        <w:rPr>
          <w:rFonts w:ascii="Times New Roman" w:hAnsi="Times New Roman" w:eastAsia="仿宋_GB2312"/>
          <w:sz w:val="32"/>
          <w:szCs w:val="32"/>
        </w:rPr>
      </w:pPr>
    </w:p>
    <w:p>
      <w:pPr>
        <w:pStyle w:val="11"/>
        <w:spacing w:before="0" w:beforeAutospacing="0" w:after="0" w:afterAutospacing="0" w:line="560" w:lineRule="exact"/>
        <w:ind w:firstLine="632" w:firstLineChars="200"/>
        <w:rPr>
          <w:rFonts w:ascii="Times New Roman" w:hAnsi="Times New Roman" w:eastAsia="仿宋_GB2312"/>
          <w:sz w:val="32"/>
          <w:szCs w:val="32"/>
        </w:rPr>
      </w:pPr>
    </w:p>
    <w:p>
      <w:pPr>
        <w:pStyle w:val="11"/>
        <w:spacing w:before="0" w:beforeAutospacing="0" w:after="0" w:afterAutospacing="0" w:line="560" w:lineRule="exact"/>
        <w:ind w:firstLine="632" w:firstLineChars="200"/>
        <w:rPr>
          <w:rFonts w:ascii="Times New Roman" w:hAnsi="Times New Roman" w:eastAsia="仿宋_GB2312"/>
          <w:sz w:val="32"/>
          <w:szCs w:val="32"/>
        </w:rPr>
      </w:pPr>
    </w:p>
    <w:p>
      <w:pPr>
        <w:pStyle w:val="11"/>
        <w:spacing w:before="0" w:beforeAutospacing="0" w:after="0" w:afterAutospacing="0" w:line="560" w:lineRule="exact"/>
        <w:ind w:firstLine="632" w:firstLineChars="200"/>
        <w:rPr>
          <w:rFonts w:ascii="Times New Roman" w:hAnsi="Times New Roman" w:eastAsia="仿宋_GB2312"/>
          <w:sz w:val="32"/>
          <w:szCs w:val="32"/>
        </w:rPr>
      </w:pPr>
    </w:p>
    <w:p>
      <w:pPr>
        <w:pStyle w:val="11"/>
        <w:spacing w:before="0" w:beforeAutospacing="0" w:after="0" w:afterAutospacing="0" w:line="440" w:lineRule="exact"/>
        <w:ind w:firstLine="632" w:firstLineChars="200"/>
        <w:rPr>
          <w:rFonts w:ascii="Times New Roman" w:hAnsi="Times New Roman" w:eastAsia="仿宋_GB2312"/>
          <w:sz w:val="32"/>
          <w:szCs w:val="32"/>
        </w:rPr>
      </w:pPr>
    </w:p>
    <w:p>
      <w:pPr>
        <w:pStyle w:val="11"/>
        <w:spacing w:before="0" w:beforeAutospacing="0" w:after="0" w:afterAutospacing="0" w:line="440" w:lineRule="exact"/>
        <w:ind w:firstLine="632" w:firstLineChars="200"/>
        <w:rPr>
          <w:rFonts w:ascii="Times New Roman" w:hAnsi="Times New Roman" w:eastAsia="仿宋_GB2312"/>
          <w:sz w:val="32"/>
          <w:szCs w:val="32"/>
        </w:rPr>
      </w:pPr>
    </w:p>
    <w:p>
      <w:pPr>
        <w:pStyle w:val="11"/>
        <w:spacing w:before="0" w:beforeAutospacing="0" w:after="0" w:afterAutospacing="0" w:line="440" w:lineRule="exact"/>
        <w:ind w:firstLine="632" w:firstLineChars="200"/>
        <w:rPr>
          <w:rFonts w:ascii="Times New Roman" w:hAnsi="Times New Roman" w:eastAsia="仿宋_GB2312"/>
          <w:sz w:val="32"/>
          <w:szCs w:val="32"/>
        </w:rPr>
      </w:pPr>
    </w:p>
    <w:p>
      <w:pPr>
        <w:widowControl/>
        <w:spacing w:line="240" w:lineRule="auto"/>
        <w:ind w:firstLine="0"/>
        <w:jc w:val="center"/>
        <w:rPr>
          <w:kern w:val="0"/>
          <w:szCs w:val="32"/>
        </w:rPr>
      </w:pPr>
      <w:r>
        <w:rPr>
          <w:szCs w:val="32"/>
        </w:rPr>
        <w:drawing>
          <wp:anchor distT="0" distB="0" distL="114300" distR="114300" simplePos="0" relativeHeight="251663360" behindDoc="0" locked="0" layoutInCell="1" allowOverlap="1">
            <wp:simplePos x="0" y="0"/>
            <wp:positionH relativeFrom="column">
              <wp:posOffset>295275</wp:posOffset>
            </wp:positionH>
            <wp:positionV relativeFrom="paragraph">
              <wp:posOffset>357505</wp:posOffset>
            </wp:positionV>
            <wp:extent cx="4993005" cy="3263900"/>
            <wp:effectExtent l="19050" t="0" r="0" b="0"/>
            <wp:wrapNone/>
            <wp:docPr id="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2"/>
                    <pic:cNvPicPr>
                      <a:picLocks noChangeAspect="1" noChangeArrowheads="1"/>
                    </pic:cNvPicPr>
                  </pic:nvPicPr>
                  <pic:blipFill>
                    <a:blip r:embed="rId13"/>
                    <a:srcRect b="4590"/>
                    <a:stretch>
                      <a:fillRect/>
                    </a:stretch>
                  </pic:blipFill>
                  <pic:spPr>
                    <a:xfrm>
                      <a:off x="0" y="0"/>
                      <a:ext cx="4992788" cy="3264061"/>
                    </a:xfrm>
                    <a:prstGeom prst="rect">
                      <a:avLst/>
                    </a:prstGeom>
                    <a:noFill/>
                    <a:ln w="9525">
                      <a:noFill/>
                      <a:miter lim="800000"/>
                      <a:headEnd/>
                      <a:tailEnd/>
                    </a:ln>
                  </pic:spPr>
                </pic:pic>
              </a:graphicData>
            </a:graphic>
          </wp:anchor>
        </w:drawing>
      </w:r>
      <w:r>
        <w:rPr>
          <w:szCs w:val="32"/>
        </w:rPr>
        <w:t>图3 事故污水井平面布置示意图</w:t>
      </w:r>
    </w:p>
    <w:p>
      <w:pPr>
        <w:ind w:firstLine="632" w:firstLineChars="200"/>
        <w:rPr>
          <w:b/>
          <w:szCs w:val="32"/>
        </w:rPr>
      </w:pPr>
    </w:p>
    <w:p>
      <w:pPr>
        <w:ind w:firstLine="632" w:firstLineChars="200"/>
        <w:rPr>
          <w:szCs w:val="32"/>
        </w:rPr>
      </w:pPr>
    </w:p>
    <w:p>
      <w:pPr>
        <w:ind w:firstLine="632" w:firstLineChars="200"/>
        <w:rPr>
          <w:szCs w:val="32"/>
        </w:rPr>
      </w:pPr>
    </w:p>
    <w:p>
      <w:pPr>
        <w:ind w:firstLine="632" w:firstLineChars="200"/>
        <w:rPr>
          <w:szCs w:val="32"/>
        </w:rPr>
      </w:pPr>
    </w:p>
    <w:p>
      <w:pPr>
        <w:spacing w:line="420" w:lineRule="exact"/>
        <w:ind w:firstLine="632" w:firstLineChars="200"/>
        <w:rPr>
          <w:szCs w:val="32"/>
        </w:rPr>
      </w:pPr>
    </w:p>
    <w:p>
      <w:pPr>
        <w:spacing w:line="420" w:lineRule="exact"/>
        <w:ind w:firstLine="632" w:firstLineChars="200"/>
        <w:rPr>
          <w:szCs w:val="32"/>
        </w:rPr>
      </w:pPr>
    </w:p>
    <w:p>
      <w:pPr>
        <w:spacing w:line="420" w:lineRule="exact"/>
        <w:ind w:firstLine="632" w:firstLineChars="200"/>
        <w:rPr>
          <w:szCs w:val="32"/>
        </w:rPr>
      </w:pPr>
    </w:p>
    <w:p>
      <w:pPr>
        <w:spacing w:line="400" w:lineRule="exact"/>
        <w:ind w:firstLine="632" w:firstLineChars="200"/>
        <w:rPr>
          <w:szCs w:val="32"/>
        </w:rPr>
      </w:pPr>
    </w:p>
    <w:p>
      <w:pPr>
        <w:spacing w:line="400" w:lineRule="exact"/>
        <w:ind w:firstLine="632" w:firstLineChars="200"/>
        <w:rPr>
          <w:szCs w:val="32"/>
        </w:rPr>
      </w:pPr>
    </w:p>
    <w:p>
      <w:pPr>
        <w:spacing w:line="420" w:lineRule="exact"/>
        <w:ind w:firstLine="632" w:firstLineChars="200"/>
        <w:rPr>
          <w:szCs w:val="32"/>
        </w:rPr>
      </w:pPr>
    </w:p>
    <w:p>
      <w:pPr>
        <w:spacing w:line="420" w:lineRule="exact"/>
        <w:ind w:firstLine="632" w:firstLineChars="200"/>
        <w:rPr>
          <w:szCs w:val="32"/>
        </w:rPr>
      </w:pPr>
    </w:p>
    <w:p>
      <w:pPr>
        <w:spacing w:line="420" w:lineRule="exact"/>
        <w:ind w:firstLine="2212" w:firstLineChars="700"/>
        <w:rPr>
          <w:szCs w:val="32"/>
        </w:rPr>
      </w:pPr>
      <w:r>
        <w:rPr>
          <w:szCs w:val="32"/>
        </w:rPr>
        <w:t>图4 事故污水井平面、剖面示意图</w:t>
      </w:r>
    </w:p>
    <w:p>
      <w:pPr>
        <w:ind w:firstLine="632" w:firstLineChars="200"/>
        <w:rPr>
          <w:rFonts w:eastAsia="楷体_GB2312"/>
          <w:color w:val="000000"/>
          <w:szCs w:val="32"/>
        </w:rPr>
      </w:pPr>
      <w:r>
        <w:rPr>
          <w:rFonts w:eastAsia="楷体_GB2312"/>
          <w:color w:val="000000"/>
          <w:szCs w:val="32"/>
        </w:rPr>
        <w:t>（三）检验鉴定情况</w:t>
      </w:r>
    </w:p>
    <w:p>
      <w:pPr>
        <w:ind w:firstLine="632" w:firstLineChars="200"/>
        <w:rPr>
          <w:color w:val="000000"/>
          <w:szCs w:val="32"/>
        </w:rPr>
      </w:pPr>
      <w:r>
        <w:rPr>
          <w:color w:val="000000"/>
          <w:szCs w:val="32"/>
        </w:rPr>
        <w:t>根据连云港市公安局物证鉴定所出具的《法医学尸体检验鉴定书》（连公物鉴（病理）字〔2022〕76、77号），2名死者的死因均系溺水死亡。</w:t>
      </w:r>
    </w:p>
    <w:p>
      <w:pPr>
        <w:rPr>
          <w:rFonts w:eastAsia="楷体_GB2312"/>
          <w:color w:val="000000"/>
          <w:szCs w:val="32"/>
        </w:rPr>
      </w:pPr>
      <w:r>
        <w:rPr>
          <w:rFonts w:eastAsia="楷体_GB2312"/>
          <w:color w:val="000000"/>
          <w:szCs w:val="32"/>
        </w:rPr>
        <w:t>（四）天气情况</w:t>
      </w:r>
    </w:p>
    <w:p>
      <w:pPr>
        <w:rPr>
          <w:color w:val="000000"/>
          <w:szCs w:val="32"/>
        </w:rPr>
      </w:pPr>
      <w:r>
        <w:rPr>
          <w:color w:val="000000"/>
          <w:szCs w:val="32"/>
        </w:rPr>
        <w:t>根据连云港市气象局提供气象资料，2022年4月9日13时，海州区为晴天，无降水，温度28.7℃，最大风速7.1m/s。</w:t>
      </w:r>
    </w:p>
    <w:p>
      <w:pPr>
        <w:adjustRightInd w:val="0"/>
        <w:snapToGrid w:val="0"/>
        <w:ind w:firstLine="632" w:firstLineChars="200"/>
        <w:rPr>
          <w:rFonts w:eastAsia="黑体"/>
        </w:rPr>
      </w:pPr>
      <w:r>
        <w:rPr>
          <w:rFonts w:eastAsia="黑体"/>
        </w:rPr>
        <w:t>四、事故原因和性质</w:t>
      </w:r>
    </w:p>
    <w:p>
      <w:pPr>
        <w:adjustRightInd w:val="0"/>
        <w:snapToGrid w:val="0"/>
        <w:ind w:firstLine="632" w:firstLineChars="200"/>
        <w:rPr>
          <w:rFonts w:eastAsia="楷体_GB2312"/>
        </w:rPr>
      </w:pPr>
      <w:r>
        <w:rPr>
          <w:rFonts w:eastAsia="楷体_GB2312"/>
        </w:rPr>
        <w:t>（一）直接原因</w:t>
      </w:r>
    </w:p>
    <w:p>
      <w:pPr>
        <w:pStyle w:val="32"/>
        <w:shd w:val="clear" w:color="auto" w:fill="FFFFFF"/>
        <w:adjustRightInd w:val="0"/>
        <w:snapToGrid w:val="0"/>
        <w:spacing w:before="0" w:beforeAutospacing="0" w:after="0" w:afterAutospacing="0" w:line="560" w:lineRule="exact"/>
        <w:ind w:firstLine="632" w:firstLineChars="200"/>
        <w:jc w:val="both"/>
        <w:rPr>
          <w:rFonts w:ascii="Times New Roman" w:hAnsi="Times New Roman" w:eastAsia="仿宋_GB2312" w:cs="Times New Roman"/>
          <w:sz w:val="32"/>
          <w:szCs w:val="32"/>
        </w:rPr>
      </w:pPr>
      <w:r>
        <w:rPr>
          <w:rFonts w:ascii="Times New Roman" w:hAnsi="Times New Roman" w:eastAsia="仿宋_GB2312" w:cs="Times New Roman"/>
          <w:sz w:val="32"/>
          <w:szCs w:val="32"/>
        </w:rPr>
        <w:t>经调查认定，事故的直接原因是：罗家才违反有限空间作业安全管理有关规定</w:t>
      </w:r>
      <w:r>
        <w:rPr>
          <w:rFonts w:ascii="Times New Roman" w:hAnsi="Times New Roman" w:eastAsia="仿宋_GB2312" w:cs="Times New Roman"/>
          <w:sz w:val="32"/>
          <w:szCs w:val="32"/>
          <w:vertAlign w:val="superscript"/>
        </w:rPr>
        <w:t>4</w:t>
      </w:r>
      <w:r>
        <w:rPr>
          <w:rFonts w:ascii="Times New Roman" w:hAnsi="Times New Roman" w:eastAsia="仿宋_GB2312" w:cs="Times New Roman"/>
          <w:sz w:val="32"/>
          <w:szCs w:val="32"/>
        </w:rPr>
        <w:t>，违规下井作业。因有毒有害气体中毒跌落污水井内溺水死亡，聂时礼和余传智在未做好个体防护的情况下盲目施救，导致伤亡扩大。</w:t>
      </w:r>
    </w:p>
    <w:p>
      <w:pPr>
        <w:pStyle w:val="32"/>
        <w:shd w:val="clear" w:color="auto" w:fill="FFFFFF"/>
        <w:adjustRightInd w:val="0"/>
        <w:snapToGrid w:val="0"/>
        <w:spacing w:before="0" w:beforeAutospacing="0" w:after="0" w:afterAutospacing="0" w:line="560" w:lineRule="exact"/>
        <w:ind w:firstLine="632" w:firstLineChars="200"/>
        <w:jc w:val="both"/>
        <w:rPr>
          <w:rFonts w:ascii="Times New Roman" w:hAnsi="Times New Roman" w:eastAsia="楷体_GB2312" w:cs="Times New Roman"/>
          <w:kern w:val="2"/>
          <w:sz w:val="32"/>
          <w:szCs w:val="20"/>
        </w:rPr>
      </w:pPr>
      <w:r>
        <w:rPr>
          <w:rFonts w:ascii="Times New Roman" w:hAnsi="Times New Roman" w:eastAsia="楷体_GB2312" w:cs="Times New Roman"/>
          <w:kern w:val="2"/>
          <w:sz w:val="32"/>
          <w:szCs w:val="20"/>
        </w:rPr>
        <w:t>（二）间接原因</w:t>
      </w:r>
    </w:p>
    <w:p>
      <w:pPr>
        <w:widowControl/>
        <w:spacing w:line="240" w:lineRule="auto"/>
        <w:ind w:firstLine="632" w:firstLineChars="200"/>
        <w:jc w:val="left"/>
        <w:rPr>
          <w:szCs w:val="32"/>
        </w:rPr>
      </w:pPr>
      <w:r>
        <w:rPr>
          <w:szCs w:val="32"/>
        </w:rPr>
        <mc:AlternateContent>
          <mc:Choice Requires="wps">
            <w:drawing>
              <wp:anchor distT="0" distB="0" distL="114300" distR="114300" simplePos="0" relativeHeight="251670528" behindDoc="0" locked="0" layoutInCell="1" allowOverlap="1">
                <wp:simplePos x="0" y="0"/>
                <wp:positionH relativeFrom="column">
                  <wp:posOffset>50800</wp:posOffset>
                </wp:positionH>
                <wp:positionV relativeFrom="paragraph">
                  <wp:posOffset>2600325</wp:posOffset>
                </wp:positionV>
                <wp:extent cx="1782445" cy="0"/>
                <wp:effectExtent l="0" t="0" r="0" b="0"/>
                <wp:wrapNone/>
                <wp:docPr id="12" name="自选图形 29"/>
                <wp:cNvGraphicFramePr/>
                <a:graphic xmlns:a="http://schemas.openxmlformats.org/drawingml/2006/main">
                  <a:graphicData uri="http://schemas.microsoft.com/office/word/2010/wordprocessingShape">
                    <wps:wsp>
                      <wps:cNvCnPr/>
                      <wps:spPr>
                        <a:xfrm>
                          <a:off x="0" y="0"/>
                          <a:ext cx="178244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9" o:spid="_x0000_s1026" o:spt="32" type="#_x0000_t32" style="position:absolute;left:0pt;margin-left:4pt;margin-top:204.75pt;height:0pt;width:140.35pt;z-index:251670528;mso-width-relative:page;mso-height-relative:page;" filled="f" stroked="t" coordsize="21600,21600" o:gfxdata="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WYhV7XAAAACQEAAA8AAAAAAAAAAQAgAAAAIgAAAGRycy9kb3ducmV2LnhtbFBL&#10;AQIUABQAAAAIAIdO4kBB5JMS9wEAAOUDAAAOAAAAAAAAAAEAIAAAACYBAABkcnMvZTJvRG9jLnht&#10;bFBLBQYAAAAABgAGAFkBAACPBQAAAAA=&#10;">
                <v:fill on="f" focussize="0,0"/>
                <v:stroke color="#000000" joinstyle="round"/>
                <v:imagedata o:title=""/>
                <o:lock v:ext="edit" aspectratio="f"/>
              </v:shape>
            </w:pict>
          </mc:Fallback>
        </mc:AlternateContent>
      </w:r>
      <w:r>
        <w:rPr>
          <w:szCs w:val="32"/>
        </w:rPr>
        <mc:AlternateContent>
          <mc:Choice Requires="wps">
            <w:drawing>
              <wp:anchor distT="0" distB="0" distL="114300" distR="114300" simplePos="0" relativeHeight="251669504" behindDoc="0" locked="0" layoutInCell="1" allowOverlap="1">
                <wp:simplePos x="0" y="0"/>
                <wp:positionH relativeFrom="column">
                  <wp:posOffset>-19050</wp:posOffset>
                </wp:positionH>
                <wp:positionV relativeFrom="paragraph">
                  <wp:posOffset>2600325</wp:posOffset>
                </wp:positionV>
                <wp:extent cx="5638165" cy="1188720"/>
                <wp:effectExtent l="0" t="0" r="0" b="0"/>
                <wp:wrapNone/>
                <wp:docPr id="11" name="文本框 28"/>
                <wp:cNvGraphicFramePr/>
                <a:graphic xmlns:a="http://schemas.openxmlformats.org/drawingml/2006/main">
                  <a:graphicData uri="http://schemas.microsoft.com/office/word/2010/wordprocessingShape">
                    <wps:wsp>
                      <wps:cNvSpPr txBox="1"/>
                      <wps:spPr>
                        <a:xfrm>
                          <a:off x="0" y="0"/>
                          <a:ext cx="5638165" cy="1188720"/>
                        </a:xfrm>
                        <a:prstGeom prst="rect">
                          <a:avLst/>
                        </a:prstGeom>
                        <a:noFill/>
                        <a:ln>
                          <a:noFill/>
                        </a:ln>
                      </wps:spPr>
                      <wps:txbx>
                        <w:txbxContent>
                          <w:p>
                            <w:pPr>
                              <w:spacing w:line="240" w:lineRule="exact"/>
                              <w:ind w:firstLine="0"/>
                              <w:rPr>
                                <w:rFonts w:ascii="仿宋_GB2312"/>
                                <w:sz w:val="15"/>
                                <w:szCs w:val="15"/>
                              </w:rPr>
                            </w:pPr>
                            <w:r>
                              <w:rPr>
                                <w:rFonts w:hint="eastAsia"/>
                                <w:sz w:val="21"/>
                                <w:szCs w:val="21"/>
                                <w:vertAlign w:val="superscript"/>
                              </w:rPr>
                              <w:t>4</w:t>
                            </w:r>
                            <w:r>
                              <w:rPr>
                                <w:rFonts w:hint="eastAsia" w:ascii="仿宋_GB2312"/>
                                <w:sz w:val="15"/>
                                <w:szCs w:val="15"/>
                              </w:rPr>
                              <w:t xml:space="preserve"> 《城镇排水管道维护安全技术规程》（CJJ 6－2009）5.1.6  井下作业必须履行审批手续，执行当地的下井许可制度。5.1.8  井下作业前，维护作业单位必须检测管道内有害气体。井下有害气体浓度必须符合本规程第 5.3 节的有关规定。井下作业时，必须进行连续气体检测，且井上监护人员不得少于两人；进入管道内作业时，井室内应设置专人呼应和监护，监护人员严禁擅离职守。 </w:t>
                            </w:r>
                          </w:p>
                          <w:p>
                            <w:pPr>
                              <w:spacing w:line="240" w:lineRule="exact"/>
                              <w:ind w:firstLine="0"/>
                              <w:rPr>
                                <w:sz w:val="15"/>
                                <w:szCs w:val="15"/>
                              </w:rPr>
                            </w:pPr>
                            <w:r>
                              <w:rPr>
                                <w:rFonts w:hint="eastAsia"/>
                                <w:sz w:val="21"/>
                                <w:szCs w:val="21"/>
                                <w:vertAlign w:val="superscript"/>
                              </w:rPr>
                              <w:t>5</w:t>
                            </w:r>
                            <w:r>
                              <w:rPr>
                                <w:rFonts w:hint="eastAsia" w:ascii="仿宋_GB2312"/>
                                <w:sz w:val="15"/>
                                <w:szCs w:val="15"/>
                              </w:rPr>
                              <w:t xml:space="preserve"> 《有限空间作业安全指导手册》（应急厅函〔2020〕299号）4.1.7 将有限空间作业发包的，承包单位应具备相应的安全生产条件；发包单位对发包作业安全承担主体责任。发包单位应与承包单位签订安全生产管理协议，明确双方的安全管理职责，或在合同中明确约定各自的安全生产管理职责。发包单位应对承包单位的作业方案和实施的作业进行审批，对承包单位的安全生产工作统一协调、管理，定期进行安全检查，发现安全问题的，应当及时督促整改。</w:t>
                            </w:r>
                          </w:p>
                        </w:txbxContent>
                      </wps:txbx>
                      <wps:bodyPr upright="1"/>
                    </wps:wsp>
                  </a:graphicData>
                </a:graphic>
              </wp:anchor>
            </w:drawing>
          </mc:Choice>
          <mc:Fallback>
            <w:pict>
              <v:shape id="文本框 28" o:spid="_x0000_s1026" o:spt="202" type="#_x0000_t202" style="position:absolute;left:0pt;margin-left:-1.5pt;margin-top:204.75pt;height:93.6pt;width:443.95pt;z-index:251669504;mso-width-relative:page;mso-height-relative:page;" filled="f" stroked="f" coordsize="21600,21600" o:gfxdata="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SH5wM&#10;2AAAAAoBAAAPAAAAAAAAAAEAIAAAACIAAABkcnMvZG93bnJldi54bWxQSwECFAAUAAAACACHTuJA&#10;Xb0u+a8BAABRAwAADgAAAAAAAAABACAAAAAnAQAAZHJzL2Uyb0RvYy54bWxQSwUGAAAAAAYABgBZ&#10;AQAASAUAAAAA&#10;">
                <v:fill on="f" focussize="0,0"/>
                <v:stroke on="f"/>
                <v:imagedata o:title=""/>
                <o:lock v:ext="edit" aspectratio="f"/>
                <v:textbox>
                  <w:txbxContent>
                    <w:p>
                      <w:pPr>
                        <w:spacing w:line="240" w:lineRule="exact"/>
                        <w:ind w:firstLine="0"/>
                        <w:rPr>
                          <w:rFonts w:ascii="仿宋_GB2312"/>
                          <w:sz w:val="15"/>
                          <w:szCs w:val="15"/>
                        </w:rPr>
                      </w:pPr>
                      <w:r>
                        <w:rPr>
                          <w:rFonts w:hint="eastAsia"/>
                          <w:sz w:val="21"/>
                          <w:szCs w:val="21"/>
                          <w:vertAlign w:val="superscript"/>
                        </w:rPr>
                        <w:t>4</w:t>
                      </w:r>
                      <w:r>
                        <w:rPr>
                          <w:rFonts w:hint="eastAsia" w:ascii="仿宋_GB2312"/>
                          <w:sz w:val="15"/>
                          <w:szCs w:val="15"/>
                        </w:rPr>
                        <w:t xml:space="preserve"> 《城镇排水管道维护安全技术规程》（CJJ 6－2009）5.1.6  井下作业必须履行审批手续，执行当地的下井许可制度。5.1.8  井下作业前，维护作业单位必须检测管道内有害气体。井下有害气体浓度必须符合本规程第 5.3 节的有关规定。井下作业时，必须进行连续气体检测，且井上监护人员不得少于两人；进入管道内作业时，井室内应设置专人呼应和监护，监护人员严禁擅离职守。 </w:t>
                      </w:r>
                    </w:p>
                    <w:p>
                      <w:pPr>
                        <w:spacing w:line="240" w:lineRule="exact"/>
                        <w:ind w:firstLine="0"/>
                        <w:rPr>
                          <w:sz w:val="15"/>
                          <w:szCs w:val="15"/>
                        </w:rPr>
                      </w:pPr>
                      <w:r>
                        <w:rPr>
                          <w:rFonts w:hint="eastAsia"/>
                          <w:sz w:val="21"/>
                          <w:szCs w:val="21"/>
                          <w:vertAlign w:val="superscript"/>
                        </w:rPr>
                        <w:t>5</w:t>
                      </w:r>
                      <w:r>
                        <w:rPr>
                          <w:rFonts w:hint="eastAsia" w:ascii="仿宋_GB2312"/>
                          <w:sz w:val="15"/>
                          <w:szCs w:val="15"/>
                        </w:rPr>
                        <w:t xml:space="preserve"> 《有限空间作业安全指导手册》（应急厅函〔2020〕299号）4.1.7 将有限空间作业发包的，承包单位应具备相应的安全生产条件；发包单位对发包作业安全承担主体责任。发包单位应与承包单位签订安全生产管理协议，明确双方的安全管理职责，或在合同中明确约定各自的安全生产管理职责。发包单位应对承包单位的作业方案和实施的作业进行审批，对承包单位的安全生产工作统一协调、管理，定期进行安全检查，发现安全问题的，应当及时督促整改。</w:t>
                      </w:r>
                    </w:p>
                  </w:txbxContent>
                </v:textbox>
              </v:shape>
            </w:pict>
          </mc:Fallback>
        </mc:AlternateContent>
      </w:r>
      <w:r>
        <w:rPr>
          <w:szCs w:val="32"/>
        </w:rPr>
        <w:t>1.排水公司，未落实安全生产主体责任，作业期间未将承包单位及其施工班组纳入本单位安全管理体系，实施统一管理；违反工程发包程序，将部分工程对外分包；将工程违法分包给不具备安全生产条件的淮安朝霆公司，未与淮安朝霆公司签订安全生产管理协议</w:t>
      </w:r>
      <w:r>
        <w:rPr>
          <w:szCs w:val="32"/>
          <w:vertAlign w:val="superscript"/>
        </w:rPr>
        <w:t>5</w:t>
      </w:r>
      <w:r>
        <w:rPr>
          <w:szCs w:val="32"/>
        </w:rPr>
        <w:t>；未严格执行有限空间作业审批管理制度；安全管理人员对施工现场统一协调、管理不到位，对施工现场巡查力度不够，未能及时发现并排除安全隐患；未审核淮安朝霆公司安全</w:t>
      </w:r>
      <w:r>
        <w:rPr>
          <w:szCs w:val="32"/>
        </w:rPr>
        <w:br w:type="page"/>
      </w:r>
    </w:p>
    <w:p>
      <w:pPr>
        <w:widowControl/>
        <w:ind w:firstLine="0"/>
        <w:rPr>
          <w:szCs w:val="32"/>
        </w:rPr>
      </w:pPr>
      <w:r>
        <w:rPr>
          <w:szCs w:val="32"/>
        </w:rPr>
        <w:t>生产条件及进场施工班组人员能力；未组织施工班组安全生产教育培训；未组织安全技术交底。</w:t>
      </w:r>
    </w:p>
    <w:p>
      <w:pPr>
        <w:widowControl/>
        <w:ind w:firstLine="632" w:firstLineChars="200"/>
        <w:rPr>
          <w:szCs w:val="32"/>
        </w:rPr>
      </w:pPr>
      <w:r>
        <w:rPr>
          <w:szCs w:val="32"/>
        </w:rPr>
        <w:t>2.润科集团，未严格执行《集团招标办法》规定，在投资额度不确定，能否适用“内部协同机制”不明确的情况下，未履行审批手续，将高新区地下排水管网排查检测工程交由排水公司负责；未与排水公司签订业务合同及安全生产管理协议；未履行报批手续擅自组织施工；未对排水公司分包情况及现场作业管理进行督导检查。</w:t>
      </w:r>
    </w:p>
    <w:p>
      <w:pPr>
        <w:widowControl/>
        <w:ind w:firstLine="632" w:firstLineChars="200"/>
        <w:rPr>
          <w:szCs w:val="32"/>
        </w:rPr>
      </w:pPr>
      <w:r>
        <w:rPr>
          <w:szCs w:val="32"/>
        </w:rPr>
        <w:t>3.淮安朝霆公司，未落实安全生产主体责任，公司安全管理制度不健全，安全生产责任制不健全，无安全生产管理人员，不具备承接高新区地下排水管网排查检测工程的安全生产条件；将承接工程肢解后以分包名义转包给常熟鑫安公司和永城盛源公司，且未与常熟鑫安公司和永城盛源公司签订安全生产管理协议；工程施工现场未安排项目负责人，仅跟踪工程施工进度，未对常熟鑫安公司、永城盛源公司及现场施工班组安全生产工作实施统一协调、管理；未组织施工班组安全生产教育培训；未组织安全技术交底；未执行有限空间作业审批管理制度。</w:t>
      </w:r>
    </w:p>
    <w:p>
      <w:pPr>
        <w:pStyle w:val="11"/>
        <w:adjustRightInd w:val="0"/>
        <w:snapToGrid w:val="0"/>
        <w:spacing w:before="0" w:beforeAutospacing="0" w:after="0" w:afterAutospacing="0" w:line="560" w:lineRule="atLeast"/>
        <w:ind w:firstLine="632" w:firstLineChars="200"/>
        <w:jc w:val="both"/>
        <w:rPr>
          <w:rFonts w:ascii="Times New Roman" w:hAnsi="Times New Roman"/>
          <w:szCs w:val="32"/>
        </w:rPr>
      </w:pPr>
      <w:r>
        <w:rPr>
          <w:rFonts w:ascii="Times New Roman" w:hAnsi="Times New Roman" w:eastAsia="仿宋_GB2312"/>
          <w:sz w:val="32"/>
          <w:szCs w:val="32"/>
        </w:rPr>
        <w:t>4.常熟鑫安公司，未落实安全生产主体责任，工程施工现场未安排项目负责人，未对自己所派的现场施工班组安全生产工作实施统一协调、管理；未与聂时礼劳务队等临时作业班组签订业务合同及安全生产管理协议；未组织施工班组安全生产教育培训；未组织安全技术交底；未执行有限空间作业审批管理制度。</w:t>
      </w:r>
    </w:p>
    <w:p>
      <w:pPr>
        <w:pStyle w:val="11"/>
        <w:adjustRightInd w:val="0"/>
        <w:snapToGrid w:val="0"/>
        <w:spacing w:before="0" w:beforeAutospacing="0" w:after="0" w:afterAutospacing="0" w:line="560" w:lineRule="exact"/>
        <w:ind w:firstLine="632" w:firstLineChars="200"/>
        <w:jc w:val="both"/>
        <w:rPr>
          <w:rFonts w:ascii="Times New Roman" w:hAnsi="Times New Roman" w:eastAsia="仿宋_GB2312"/>
          <w:sz w:val="32"/>
          <w:szCs w:val="32"/>
        </w:rPr>
      </w:pPr>
      <w:r>
        <w:rPr>
          <w:rFonts w:ascii="Times New Roman" w:hAnsi="Times New Roman" w:eastAsia="仿宋_GB2312"/>
          <w:sz w:val="32"/>
          <w:szCs w:val="32"/>
        </w:rPr>
        <w:t>5.聂时礼劳务队，未经过有限空间作业安全教育培训，对有限空间作业危险认识不足。违反《城镇排水管道维护安全技术规程》《有限空间作业安全指导手册》等有关要求，违章操作，未按要求配备相关的呼吸器、防毒面罩、检测仪器等应急装备和器材；在未履行有限空间作业审批手续且未通风、未检测、未做好个人防护的情况下，开展有限空间作业。</w:t>
      </w:r>
    </w:p>
    <w:p>
      <w:pPr>
        <w:pStyle w:val="11"/>
        <w:adjustRightInd w:val="0"/>
        <w:snapToGrid w:val="0"/>
        <w:spacing w:before="0" w:beforeAutospacing="0" w:after="0" w:afterAutospacing="0" w:line="560" w:lineRule="atLeast"/>
        <w:ind w:firstLine="632" w:firstLineChars="200"/>
        <w:jc w:val="both"/>
        <w:rPr>
          <w:rFonts w:ascii="Times New Roman" w:hAnsi="Times New Roman" w:eastAsia="仿宋_GB2312"/>
          <w:sz w:val="32"/>
          <w:szCs w:val="32"/>
        </w:rPr>
      </w:pPr>
      <w:r>
        <w:rPr>
          <w:rFonts w:ascii="Times New Roman" w:hAnsi="Times New Roman" w:eastAsia="仿宋_GB2312"/>
          <w:sz w:val="32"/>
          <w:szCs w:val="32"/>
        </w:rPr>
        <w:t>6.市政公用公司，履行安全监管职责不到位，未能督促指导权属子公司排水公司严格履行安全生产职责，对事故项目存在转包及违法分包的行为失察失管。</w:t>
      </w:r>
    </w:p>
    <w:p>
      <w:pPr>
        <w:pStyle w:val="11"/>
        <w:adjustRightInd w:val="0"/>
        <w:snapToGrid w:val="0"/>
        <w:spacing w:before="0" w:beforeAutospacing="0" w:after="0" w:afterAutospacing="0" w:line="560" w:lineRule="exact"/>
        <w:ind w:firstLine="632" w:firstLineChars="200"/>
        <w:jc w:val="both"/>
        <w:rPr>
          <w:rFonts w:ascii="Times New Roman" w:hAnsi="Times New Roman" w:eastAsia="仿宋_GB2312"/>
          <w:sz w:val="32"/>
          <w:szCs w:val="32"/>
        </w:rPr>
      </w:pPr>
      <w:r>
        <w:rPr>
          <w:rFonts w:ascii="Times New Roman" w:hAnsi="Times New Roman" w:eastAsia="仿宋_GB2312"/>
          <w:sz w:val="32"/>
          <w:szCs w:val="32"/>
        </w:rPr>
        <w:t>7.市、海州区住建部门，对由市属国企承建且产权仍未移交属地的市政工程日常监管方面存在职责交叉不清等问题；对市政工程涉及有限空间作业安全监管力度不够；未能及时发现并制止润科集团未履行报批手续擅自组织施工的行为。</w:t>
      </w:r>
    </w:p>
    <w:p>
      <w:pPr>
        <w:adjustRightInd w:val="0"/>
        <w:snapToGrid w:val="0"/>
        <w:ind w:firstLine="632" w:firstLineChars="200"/>
        <w:rPr>
          <w:rFonts w:eastAsia="楷体_GB2312"/>
          <w:szCs w:val="32"/>
        </w:rPr>
      </w:pPr>
      <w:r>
        <w:rPr>
          <w:rFonts w:eastAsia="楷体_GB2312"/>
          <w:szCs w:val="32"/>
        </w:rPr>
        <w:t>（三）事故性质</w:t>
      </w:r>
    </w:p>
    <w:p>
      <w:pPr>
        <w:pStyle w:val="32"/>
        <w:shd w:val="clear" w:color="auto" w:fill="FFFFFF"/>
        <w:adjustRightInd w:val="0"/>
        <w:snapToGrid w:val="0"/>
        <w:spacing w:before="0" w:beforeAutospacing="0" w:after="0" w:afterAutospacing="0" w:line="560" w:lineRule="exact"/>
        <w:ind w:firstLine="632" w:firstLineChars="200"/>
        <w:jc w:val="both"/>
        <w:rPr>
          <w:rFonts w:ascii="Times New Roman" w:hAnsi="Times New Roman" w:eastAsia="仿宋_GB2312" w:cs="Times New Roman"/>
          <w:sz w:val="32"/>
          <w:szCs w:val="32"/>
        </w:rPr>
      </w:pPr>
      <w:r>
        <w:rPr>
          <w:rFonts w:ascii="Times New Roman" w:hAnsi="Times New Roman" w:eastAsia="仿宋_GB2312" w:cs="Times New Roman"/>
          <w:sz w:val="32"/>
          <w:szCs w:val="32"/>
        </w:rPr>
        <w:t>经调查认定，该起事故是一起一般生产安全责任事故。</w:t>
      </w:r>
    </w:p>
    <w:p>
      <w:pPr>
        <w:pStyle w:val="32"/>
        <w:shd w:val="clear" w:color="auto" w:fill="FFFFFF"/>
        <w:adjustRightInd w:val="0"/>
        <w:snapToGrid w:val="0"/>
        <w:spacing w:before="0" w:beforeAutospacing="0" w:after="0" w:afterAutospacing="0" w:line="560" w:lineRule="exact"/>
        <w:ind w:firstLine="632" w:firstLineChars="200"/>
        <w:jc w:val="both"/>
        <w:rPr>
          <w:rFonts w:ascii="Times New Roman" w:hAnsi="Times New Roman" w:eastAsia="仿宋_GB2312" w:cs="Times New Roman"/>
          <w:sz w:val="32"/>
          <w:szCs w:val="32"/>
        </w:rPr>
      </w:pPr>
      <w:r>
        <w:rPr>
          <w:rFonts w:ascii="Times New Roman" w:hAnsi="Times New Roman" w:eastAsia="黑体" w:cs="Times New Roman"/>
          <w:color w:val="000000"/>
          <w:sz w:val="32"/>
          <w:szCs w:val="32"/>
        </w:rPr>
        <w:t>五、对有关责任人和单位的处理建议</w:t>
      </w:r>
    </w:p>
    <w:p>
      <w:pPr>
        <w:pStyle w:val="11"/>
        <w:adjustRightInd w:val="0"/>
        <w:snapToGrid w:val="0"/>
        <w:spacing w:before="0" w:beforeAutospacing="0" w:after="0" w:afterAutospacing="0" w:line="560" w:lineRule="exact"/>
        <w:ind w:firstLine="632" w:firstLineChars="200"/>
        <w:jc w:val="both"/>
        <w:rPr>
          <w:rFonts w:ascii="Times New Roman" w:hAnsi="Times New Roman" w:eastAsia="楷体_GB2312"/>
          <w:sz w:val="32"/>
          <w:szCs w:val="32"/>
        </w:rPr>
      </w:pPr>
      <w:r>
        <w:rPr>
          <w:rFonts w:ascii="Times New Roman" w:hAnsi="Times New Roman" w:eastAsia="楷体_GB2312"/>
          <w:sz w:val="32"/>
          <w:szCs w:val="32"/>
        </w:rPr>
        <w:t>（一）建议免于追究刑事责任人员</w:t>
      </w:r>
    </w:p>
    <w:p>
      <w:pPr>
        <w:pStyle w:val="11"/>
        <w:adjustRightInd w:val="0"/>
        <w:snapToGrid w:val="0"/>
        <w:spacing w:before="0" w:beforeAutospacing="0" w:after="0" w:afterAutospacing="0" w:line="560" w:lineRule="exact"/>
        <w:ind w:firstLine="632" w:firstLineChars="200"/>
        <w:jc w:val="both"/>
        <w:rPr>
          <w:rFonts w:ascii="Times New Roman" w:hAnsi="Times New Roman" w:eastAsia="仿宋_GB2312"/>
          <w:sz w:val="32"/>
          <w:szCs w:val="32"/>
        </w:rPr>
      </w:pPr>
      <w:r>
        <w:rPr>
          <w:rFonts w:ascii="Times New Roman" w:hAnsi="Times New Roman" w:eastAsia="仿宋_GB2312"/>
          <w:sz w:val="32"/>
          <w:szCs w:val="32"/>
        </w:rPr>
        <w:t>1.聂时礼，聂时礼劳务队负责人。负责作业场所现场指挥，未按照《城镇排水管道维护安全技术规程》《有限空间作业安全指导手册》等有限空间作业安全管理规定进行作业，导致发生事故，对事故的发生负有直接责任。鉴于其在事故中死亡，建议免于追究刑事责任。</w:t>
      </w:r>
    </w:p>
    <w:p>
      <w:pPr>
        <w:pStyle w:val="11"/>
        <w:adjustRightInd w:val="0"/>
        <w:snapToGrid w:val="0"/>
        <w:spacing w:before="0" w:beforeAutospacing="0" w:after="0" w:afterAutospacing="0" w:line="560" w:lineRule="exact"/>
        <w:ind w:firstLine="632" w:firstLineChars="200"/>
        <w:jc w:val="both"/>
        <w:rPr>
          <w:rFonts w:ascii="Times New Roman" w:hAnsi="Times New Roman" w:eastAsia="楷体_GB2312"/>
          <w:sz w:val="32"/>
          <w:szCs w:val="32"/>
        </w:rPr>
      </w:pPr>
      <w:r>
        <w:rPr>
          <w:rFonts w:ascii="Times New Roman" w:hAnsi="Times New Roman" w:eastAsia="楷体_GB2312"/>
          <w:sz w:val="32"/>
          <w:szCs w:val="32"/>
        </w:rPr>
        <w:t>（二）建议依法追究刑事责任人员</w:t>
      </w:r>
    </w:p>
    <w:p>
      <w:pPr>
        <w:widowControl/>
        <w:overflowPunct w:val="0"/>
        <w:adjustRightInd w:val="0"/>
        <w:snapToGrid w:val="0"/>
        <w:ind w:firstLine="632" w:firstLineChars="200"/>
        <w:rPr>
          <w:szCs w:val="32"/>
        </w:rPr>
      </w:pPr>
      <w:r>
        <w:rPr>
          <w:szCs w:val="32"/>
        </w:rPr>
        <w:t>1.王亦武，淮安朝霆公司法定代表人，公司安全生产第一责任人，因涉嫌重大责任事故罪被取保候审。公司安全管理制度不健全，安全生产责任制不健全，无安全生产管理人员，明知不具备相应安全生产条件承接高新区地下排水管网排查检测工程；将承接工程肢解后以分包名义转包给常熟鑫安公司和永城盛源公司，且未与常熟鑫安公司和永城盛源公司签订业务合同及安全生产管理协议；工程施工现场未安排项目负责人，未对常熟鑫安公司、永城盛源公司及现场施工班组安全生产工作实施统一协调、管理；未组织施工班组安全生产教育培训；未组织安全技术交底；未执行有限空间作业审批管理制度。对事故的发生负有重要责任，建议</w:t>
      </w:r>
      <w:r>
        <w:t>由司法机关依法追究刑事责任</w:t>
      </w:r>
      <w:r>
        <w:rPr>
          <w:szCs w:val="32"/>
        </w:rPr>
        <w:t>。</w:t>
      </w:r>
    </w:p>
    <w:p>
      <w:pPr>
        <w:widowControl/>
        <w:adjustRightInd w:val="0"/>
        <w:snapToGrid w:val="0"/>
        <w:ind w:firstLine="632" w:firstLineChars="200"/>
        <w:rPr>
          <w:szCs w:val="32"/>
        </w:rPr>
      </w:pPr>
      <w:r>
        <w:rPr>
          <w:szCs w:val="32"/>
        </w:rPr>
        <w:t>2.李素琴，常熟鑫安公司法定代表人，公司安全生产第一责任人，负责公司全面工作，因涉嫌重大责任事故罪被取保候审。工程施工现场未安排项目负责人，未对自己所派现场施工班组的安全生产工作实施统一协调、管理；未与聂时礼劳务队等临时施工班组签订业务合同及安全生产管理协议；未组织施工班组安全生产教育培训；未组织安全技术交底；未执行有限空间作业审批管理制度。对事故的发生负有重要责任，建议</w:t>
      </w:r>
      <w:r>
        <w:t>由司法机关依法追究刑事责任</w:t>
      </w:r>
      <w:r>
        <w:rPr>
          <w:szCs w:val="32"/>
        </w:rPr>
        <w:t>。</w:t>
      </w:r>
    </w:p>
    <w:p>
      <w:pPr>
        <w:pStyle w:val="11"/>
        <w:adjustRightInd w:val="0"/>
        <w:snapToGrid w:val="0"/>
        <w:spacing w:before="0" w:beforeAutospacing="0" w:after="0" w:afterAutospacing="0" w:line="560" w:lineRule="exact"/>
        <w:ind w:firstLine="632" w:firstLineChars="200"/>
        <w:jc w:val="both"/>
        <w:rPr>
          <w:rFonts w:ascii="Times New Roman" w:hAnsi="Times New Roman" w:eastAsia="仿宋_GB2312"/>
          <w:sz w:val="32"/>
          <w:szCs w:val="32"/>
        </w:rPr>
      </w:pPr>
      <w:r>
        <w:rPr>
          <w:rFonts w:ascii="Times New Roman" w:hAnsi="Times New Roman" w:eastAsia="楷体_GB2312"/>
          <w:sz w:val="32"/>
          <w:szCs w:val="32"/>
        </w:rPr>
        <w:t>（三）建议依法给予行政处罚的责任人员</w:t>
      </w:r>
    </w:p>
    <w:p>
      <w:pPr>
        <w:ind w:firstLine="632" w:firstLineChars="200"/>
        <w:rPr>
          <w:szCs w:val="32"/>
        </w:rPr>
      </w:pPr>
      <w:r>
        <w:rPr>
          <w:szCs w:val="32"/>
        </w:rPr>
        <w:t>1.赵旋，市政公用公司副总经理兼任排水公司党支部书记，排水公司安全生产第一责任人，未认真履行《中华人民共和国安全生产法》第二十一条</w:t>
      </w:r>
      <w:r>
        <w:rPr>
          <w:szCs w:val="32"/>
          <w:vertAlign w:val="superscript"/>
        </w:rPr>
        <w:t>6</w:t>
      </w:r>
      <w:r>
        <w:rPr>
          <w:szCs w:val="32"/>
        </w:rPr>
        <w:t>规定职责，对排水公司安全生产主体责任不落实，高新区地下排水管网排查检测工程管理混乱负有</w:t>
      </w:r>
      <w:r>
        <w:rPr>
          <w:rFonts w:hint="eastAsia"/>
          <w:szCs w:val="32"/>
        </w:rPr>
        <w:t>重要</w:t>
      </w:r>
      <w:r>
        <w:rPr>
          <w:szCs w:val="32"/>
        </w:rPr>
        <w:t>责任，依据《中华人民共和国安全生产法》第九十五条第一项之规定</w:t>
      </w:r>
      <w:r>
        <w:rPr>
          <w:szCs w:val="32"/>
          <w:vertAlign w:val="superscript"/>
        </w:rPr>
        <w:t>7</w:t>
      </w:r>
      <w:r>
        <w:rPr>
          <w:szCs w:val="32"/>
        </w:rPr>
        <w:t>，建议由市应急管理局给予罚款。</w:t>
      </w:r>
    </w:p>
    <w:p>
      <w:pPr>
        <w:ind w:firstLine="632" w:firstLineChars="200"/>
        <w:rPr>
          <w:szCs w:val="32"/>
        </w:rPr>
      </w:pPr>
      <w:r>
        <w:rPr>
          <w:szCs w:val="32"/>
        </w:rPr>
        <w:t>2.高军栋，原润科集团总经理，润科集团安全生产第一责任人，未认真履行《中华人民共和国安全生产法》第二十一条规定职责，对润科集团未与排水公司签订业务合同及安全生产管理协议，未将排水公司高新区地下排水管网排查检测工程安全生产工作纳入统一协调、管理负有重要责任，依据《中华人民共和国安全生产法》第九十五条第一项之规定，建议由市应急管理局给予罚款。</w:t>
      </w:r>
    </w:p>
    <w:p>
      <w:pPr>
        <w:ind w:firstLine="632" w:firstLineChars="200"/>
        <w:rPr>
          <w:szCs w:val="32"/>
        </w:rPr>
      </w:pPr>
      <w:r>
        <w:rPr>
          <w:szCs w:val="32"/>
        </w:rPr>
        <w:t>3.姜源，润科集团党支部书记、董事长，润科集团安全生产第一责任人，未认真履行《中华人民共和国安全生产法》第二十一条规定职责，对润科集团未与排水公司签订业务合同及安全生产管理协议，未将排水公司高新区地下排水管网排查检测工程安全生产工作纳入统一协调、管理负有</w:t>
      </w:r>
      <w:r>
        <w:rPr>
          <w:rFonts w:hint="eastAsia"/>
          <w:szCs w:val="32"/>
        </w:rPr>
        <w:t>重要</w:t>
      </w:r>
      <w:r>
        <w:rPr>
          <w:szCs w:val="32"/>
        </w:rPr>
        <w:t>责任，依据《中华人民共和国安全生产法》第九十五条第一项之规定，建议由市应急管理局给予罚款。</w:t>
      </w:r>
    </w:p>
    <w:p>
      <w:pPr>
        <w:ind w:firstLine="632" w:firstLineChars="200"/>
        <w:rPr>
          <w:szCs w:val="32"/>
        </w:rPr>
      </w:pPr>
      <w:r>
        <w:rPr>
          <w:szCs w:val="32"/>
        </w:rPr>
        <mc:AlternateContent>
          <mc:Choice Requires="wps">
            <w:drawing>
              <wp:anchor distT="0" distB="0" distL="114300" distR="114300" simplePos="0" relativeHeight="251676672" behindDoc="0" locked="0" layoutInCell="1" allowOverlap="1">
                <wp:simplePos x="0" y="0"/>
                <wp:positionH relativeFrom="column">
                  <wp:posOffset>6350</wp:posOffset>
                </wp:positionH>
                <wp:positionV relativeFrom="paragraph">
                  <wp:posOffset>131445</wp:posOffset>
                </wp:positionV>
                <wp:extent cx="2200910" cy="0"/>
                <wp:effectExtent l="0" t="0" r="0" b="0"/>
                <wp:wrapNone/>
                <wp:docPr id="18" name="自选图形 35"/>
                <wp:cNvGraphicFramePr/>
                <a:graphic xmlns:a="http://schemas.openxmlformats.org/drawingml/2006/main">
                  <a:graphicData uri="http://schemas.microsoft.com/office/word/2010/wordprocessingShape">
                    <wps:wsp>
                      <wps:cNvCnPr/>
                      <wps:spPr>
                        <a:xfrm>
                          <a:off x="0" y="0"/>
                          <a:ext cx="220091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5" o:spid="_x0000_s1026" o:spt="32" type="#_x0000_t32" style="position:absolute;left:0pt;margin-left:0.5pt;margin-top:10.35pt;height:0pt;width:173.3pt;z-index:251676672;mso-width-relative:page;mso-height-relative:page;" filled="f" stroked="t" coordsize="21600,21600" o:gfxdata="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Vgx3tUAAAAHAQAADwAAAAAAAAABACAAAAAiAAAAZHJzL2Rvd25yZXYueG1sUEsBAhQA&#10;FAAAAAgAh07iQIT210D1AQAA5QMAAA4AAAAAAAAAAQAgAAAAJAEAAGRycy9lMm9Eb2MueG1sUEsF&#10;BgAAAAAGAAYAWQEAAIsFAAAAAA==&#10;">
                <v:fill on="f" focussize="0,0"/>
                <v:stroke color="#000000" joinstyle="round"/>
                <v:imagedata o:title=""/>
                <o:lock v:ext="edit" aspectratio="f"/>
              </v:shape>
            </w:pict>
          </mc:Fallback>
        </mc:AlternateContent>
      </w:r>
      <w:r>
        <w:rPr>
          <w:szCs w:val="32"/>
        </w:rPr>
        <mc:AlternateContent>
          <mc:Choice Requires="wps">
            <w:drawing>
              <wp:anchor distT="0" distB="0" distL="114300" distR="114300" simplePos="0" relativeHeight="251671552" behindDoc="0" locked="0" layoutInCell="1" allowOverlap="1">
                <wp:simplePos x="0" y="0"/>
                <wp:positionH relativeFrom="column">
                  <wp:posOffset>-67945</wp:posOffset>
                </wp:positionH>
                <wp:positionV relativeFrom="paragraph">
                  <wp:posOffset>145415</wp:posOffset>
                </wp:positionV>
                <wp:extent cx="5772785" cy="1179195"/>
                <wp:effectExtent l="0" t="0" r="0" b="0"/>
                <wp:wrapNone/>
                <wp:docPr id="13" name="文本框 30"/>
                <wp:cNvGraphicFramePr/>
                <a:graphic xmlns:a="http://schemas.openxmlformats.org/drawingml/2006/main">
                  <a:graphicData uri="http://schemas.microsoft.com/office/word/2010/wordprocessingShape">
                    <wps:wsp>
                      <wps:cNvSpPr txBox="1"/>
                      <wps:spPr>
                        <a:xfrm>
                          <a:off x="0" y="0"/>
                          <a:ext cx="5772785" cy="1179195"/>
                        </a:xfrm>
                        <a:prstGeom prst="rect">
                          <a:avLst/>
                        </a:prstGeom>
                        <a:noFill/>
                        <a:ln>
                          <a:noFill/>
                        </a:ln>
                      </wps:spPr>
                      <wps:txbx>
                        <w:txbxContent>
                          <w:p>
                            <w:pPr>
                              <w:spacing w:line="240" w:lineRule="exact"/>
                              <w:ind w:firstLine="0"/>
                              <w:rPr>
                                <w:rFonts w:ascii="仿宋_GB2312"/>
                                <w:sz w:val="15"/>
                                <w:szCs w:val="15"/>
                              </w:rPr>
                            </w:pPr>
                            <w:r>
                              <w:rPr>
                                <w:rFonts w:hint="eastAsia"/>
                                <w:sz w:val="21"/>
                                <w:szCs w:val="21"/>
                                <w:vertAlign w:val="superscript"/>
                              </w:rPr>
                              <w:t>6</w:t>
                            </w:r>
                            <w:r>
                              <w:rPr>
                                <w:rFonts w:hint="eastAsia" w:ascii="仿宋_GB2312"/>
                                <w:sz w:val="15"/>
                                <w:szCs w:val="15"/>
                              </w:rPr>
                              <w:t xml:space="preserve"> 《中华人民共和国安全生产法》第二十一条  生产经营单位的主要负责人对本单位安全生产工作负有下列职责：（一）建立健全并落实本单位全员安全生产责任制，加强安全生产标准化建设；（二）组织制定并实施本单位安全生产规章制度和操作规程；（三）组织制定并实施本单位安全生产教育和培训计划；（四）保证本单位安全生产投入的有效实施；（五）组织建立并落实安全风险分级管控和隐患排查治理双重预防工作机制，督促、检查本单位的安全生产工作，及时消除生产安全事故隐患；（六）组织制定并实施本单位的生产安全事故应急救援预案；（七）及时、如实报告生产安全事故。</w:t>
                            </w:r>
                          </w:p>
                          <w:p>
                            <w:pPr>
                              <w:spacing w:line="240" w:lineRule="exact"/>
                              <w:ind w:firstLine="0"/>
                              <w:rPr>
                                <w:rFonts w:ascii="仿宋_GB2312"/>
                                <w:sz w:val="15"/>
                                <w:szCs w:val="15"/>
                              </w:rPr>
                            </w:pPr>
                            <w:r>
                              <w:rPr>
                                <w:rFonts w:hint="eastAsia"/>
                                <w:sz w:val="21"/>
                                <w:szCs w:val="21"/>
                                <w:vertAlign w:val="superscript"/>
                              </w:rPr>
                              <w:t>7</w:t>
                            </w:r>
                            <w:r>
                              <w:rPr>
                                <w:rFonts w:hint="eastAsia" w:ascii="仿宋_GB2312"/>
                                <w:sz w:val="15"/>
                                <w:szCs w:val="15"/>
                              </w:rPr>
                              <w:t xml:space="preserve"> 《中华人民共和国安全生产法》第九十五条  生产营业单位的主要负责人未履行本法规定的安全生产管理职责，导致发生生产安全事故的，由应急管理部门依照下列规定处以罚款:（一）发生一般事故的，处上一年年收入百分之四十的罚款。</w:t>
                            </w:r>
                          </w:p>
                          <w:p>
                            <w:pPr>
                              <w:spacing w:line="240" w:lineRule="exact"/>
                              <w:ind w:firstLine="0"/>
                              <w:rPr>
                                <w:rFonts w:ascii="仿宋_GB2312"/>
                                <w:sz w:val="15"/>
                                <w:szCs w:val="15"/>
                              </w:rPr>
                            </w:pPr>
                          </w:p>
                        </w:txbxContent>
                      </wps:txbx>
                      <wps:bodyPr upright="1"/>
                    </wps:wsp>
                  </a:graphicData>
                </a:graphic>
              </wp:anchor>
            </w:drawing>
          </mc:Choice>
          <mc:Fallback>
            <w:pict>
              <v:shape id="文本框 30" o:spid="_x0000_s1026" o:spt="202" type="#_x0000_t202" style="position:absolute;left:0pt;margin-left:-5.35pt;margin-top:11.45pt;height:92.85pt;width:454.55pt;z-index:251671552;mso-width-relative:page;mso-height-relative:page;" filled="f" stroked="f" coordsize="21600,21600" o:gfxdata="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J36fZfY&#10;AAAACgEAAA8AAAAAAAAAAQAgAAAAIgAAAGRycy9kb3ducmV2LnhtbFBLAQIUABQAAAAIAIdO4kC/&#10;nmNjrgEAAFEDAAAOAAAAAAAAAAEAIAAAACcBAABkcnMvZTJvRG9jLnhtbFBLBQYAAAAABgAGAFkB&#10;AABHBQAAAAA=&#10;">
                <v:fill on="f" focussize="0,0"/>
                <v:stroke on="f"/>
                <v:imagedata o:title=""/>
                <o:lock v:ext="edit" aspectratio="f"/>
                <v:textbox>
                  <w:txbxContent>
                    <w:p>
                      <w:pPr>
                        <w:spacing w:line="240" w:lineRule="exact"/>
                        <w:ind w:firstLine="0"/>
                        <w:rPr>
                          <w:rFonts w:ascii="仿宋_GB2312"/>
                          <w:sz w:val="15"/>
                          <w:szCs w:val="15"/>
                        </w:rPr>
                      </w:pPr>
                      <w:r>
                        <w:rPr>
                          <w:rFonts w:hint="eastAsia"/>
                          <w:sz w:val="21"/>
                          <w:szCs w:val="21"/>
                          <w:vertAlign w:val="superscript"/>
                        </w:rPr>
                        <w:t>6</w:t>
                      </w:r>
                      <w:r>
                        <w:rPr>
                          <w:rFonts w:hint="eastAsia" w:ascii="仿宋_GB2312"/>
                          <w:sz w:val="15"/>
                          <w:szCs w:val="15"/>
                        </w:rPr>
                        <w:t xml:space="preserve"> 《中华人民共和国安全生产法》第二十一条  生产经营单位的主要负责人对本单位安全生产工作负有下列职责：（一）建立健全并落实本单位全员安全生产责任制，加强安全生产标准化建设；（二）组织制定并实施本单位安全生产规章制度和操作规程；（三）组织制定并实施本单位安全生产教育和培训计划；（四）保证本单位安全生产投入的有效实施；（五）组织建立并落实安全风险分级管控和隐患排查治理双重预防工作机制，督促、检查本单位的安全生产工作，及时消除生产安全事故隐患；（六）组织制定并实施本单位的生产安全事故应急救援预案；（七）及时、如实报告生产安全事故。</w:t>
                      </w:r>
                    </w:p>
                    <w:p>
                      <w:pPr>
                        <w:spacing w:line="240" w:lineRule="exact"/>
                        <w:ind w:firstLine="0"/>
                        <w:rPr>
                          <w:rFonts w:ascii="仿宋_GB2312"/>
                          <w:sz w:val="15"/>
                          <w:szCs w:val="15"/>
                        </w:rPr>
                      </w:pPr>
                      <w:r>
                        <w:rPr>
                          <w:rFonts w:hint="eastAsia"/>
                          <w:sz w:val="21"/>
                          <w:szCs w:val="21"/>
                          <w:vertAlign w:val="superscript"/>
                        </w:rPr>
                        <w:t>7</w:t>
                      </w:r>
                      <w:r>
                        <w:rPr>
                          <w:rFonts w:hint="eastAsia" w:ascii="仿宋_GB2312"/>
                          <w:sz w:val="15"/>
                          <w:szCs w:val="15"/>
                        </w:rPr>
                        <w:t xml:space="preserve"> 《中华人民共和国安全生产法》第九十五条  生产营业单位的主要负责人未履行本法规定的安全生产管理职责，导致发生生产安全事故的，由应急管理部门依照下列规定处以罚款:（一）发生一般事故的，处上一年年收入百分之四十的罚款。</w:t>
                      </w:r>
                    </w:p>
                    <w:p>
                      <w:pPr>
                        <w:spacing w:line="240" w:lineRule="exact"/>
                        <w:ind w:firstLine="0"/>
                        <w:rPr>
                          <w:rFonts w:ascii="仿宋_GB2312"/>
                          <w:sz w:val="15"/>
                          <w:szCs w:val="15"/>
                        </w:rPr>
                      </w:pPr>
                    </w:p>
                  </w:txbxContent>
                </v:textbox>
              </v:shape>
            </w:pict>
          </mc:Fallback>
        </mc:AlternateContent>
      </w:r>
    </w:p>
    <w:p>
      <w:pPr>
        <w:widowControl/>
        <w:spacing w:line="240" w:lineRule="auto"/>
        <w:ind w:firstLine="632" w:firstLineChars="200"/>
        <w:jc w:val="left"/>
        <w:rPr>
          <w:szCs w:val="32"/>
        </w:rPr>
      </w:pPr>
      <w:r>
        <w:rPr>
          <w:szCs w:val="32"/>
        </w:rPr>
        <w:br w:type="page"/>
      </w:r>
    </w:p>
    <w:p>
      <w:pPr>
        <w:ind w:firstLine="632" w:firstLineChars="200"/>
        <w:rPr>
          <w:rFonts w:eastAsia="楷体_GB2312"/>
          <w:color w:val="000000"/>
          <w:szCs w:val="32"/>
        </w:rPr>
      </w:pPr>
      <w:r>
        <w:rPr>
          <w:rFonts w:eastAsia="楷体_GB2312"/>
          <w:szCs w:val="32"/>
        </w:rPr>
        <w:t>（四）</w:t>
      </w:r>
      <w:r>
        <w:rPr>
          <w:rFonts w:eastAsia="楷体_GB2312"/>
          <w:color w:val="000000"/>
          <w:szCs w:val="32"/>
        </w:rPr>
        <w:t>有关公职人员</w:t>
      </w:r>
    </w:p>
    <w:p>
      <w:pPr>
        <w:ind w:firstLine="632" w:firstLineChars="200"/>
        <w:rPr>
          <w:color w:val="000000"/>
          <w:szCs w:val="32"/>
        </w:rPr>
      </w:pPr>
      <w:r>
        <w:rPr>
          <w:color w:val="000000"/>
          <w:szCs w:val="32"/>
        </w:rPr>
        <w:t>对于在事故调查过程中发现的有关部门和单位的公职人员履职方面的问题线索及相关材料，将及时移交纪检监察机关。对有关人员的党政纪处分和有关单位的处理意见，由纪检监察机关提出；涉嫌刑事犯罪人员，由纪检监察机关移交司法机关处理。对于项目实施过程中涉及的转包及违法分包问题，由纪检监察机关进一步调查并对有关人员和单位进行处理。</w:t>
      </w:r>
    </w:p>
    <w:p>
      <w:pPr>
        <w:widowControl/>
        <w:ind w:firstLine="632" w:firstLineChars="200"/>
        <w:rPr>
          <w:rFonts w:eastAsia="楷体_GB2312"/>
          <w:szCs w:val="32"/>
        </w:rPr>
      </w:pPr>
      <w:r>
        <w:rPr>
          <w:rFonts w:eastAsia="楷体_GB2312"/>
          <w:color w:val="000000"/>
          <w:szCs w:val="32"/>
        </w:rPr>
        <w:t>（五）</w:t>
      </w:r>
      <w:r>
        <w:rPr>
          <w:rFonts w:eastAsia="楷体_GB2312"/>
          <w:szCs w:val="32"/>
        </w:rPr>
        <w:t>有关事故单位</w:t>
      </w:r>
    </w:p>
    <w:p>
      <w:pPr>
        <w:widowControl/>
        <w:ind w:firstLine="632" w:firstLineChars="200"/>
        <w:rPr>
          <w:szCs w:val="32"/>
        </w:rPr>
      </w:pPr>
      <w:r>
        <w:rPr>
          <w:szCs w:val="32"/>
        </w:rPr>
        <w:t>1.排水公司，</w:t>
      </w:r>
      <w:r>
        <w:rPr>
          <w:color w:val="000000"/>
          <w:szCs w:val="32"/>
        </w:rPr>
        <w:t>违反</w:t>
      </w:r>
      <w:r>
        <w:rPr>
          <w:szCs w:val="32"/>
        </w:rPr>
        <w:t>《中华人民共和国安全生产法》第二十八条</w:t>
      </w:r>
      <w:r>
        <w:rPr>
          <w:szCs w:val="32"/>
          <w:vertAlign w:val="superscript"/>
        </w:rPr>
        <w:t>8</w:t>
      </w:r>
      <w:r>
        <w:rPr>
          <w:szCs w:val="32"/>
        </w:rPr>
        <w:t>、第四十四条</w:t>
      </w:r>
      <w:r>
        <w:rPr>
          <w:szCs w:val="32"/>
          <w:vertAlign w:val="superscript"/>
        </w:rPr>
        <w:t>9</w:t>
      </w:r>
      <w:r>
        <w:rPr>
          <w:szCs w:val="32"/>
        </w:rPr>
        <w:t>、第四十六条</w:t>
      </w:r>
      <w:r>
        <w:rPr>
          <w:szCs w:val="32"/>
          <w:vertAlign w:val="superscript"/>
        </w:rPr>
        <w:t>10</w:t>
      </w:r>
      <w:r>
        <w:rPr>
          <w:szCs w:val="32"/>
        </w:rPr>
        <w:t>、第四十九条</w:t>
      </w:r>
      <w:r>
        <w:rPr>
          <w:szCs w:val="32"/>
          <w:vertAlign w:val="superscript"/>
        </w:rPr>
        <w:t>11</w:t>
      </w:r>
      <w:r>
        <w:rPr>
          <w:szCs w:val="32"/>
        </w:rPr>
        <w:t>规定，依据《中华人民共和国安全生产法》第一百一十四条第一款</w:t>
      </w:r>
      <w:r>
        <w:rPr>
          <w:szCs w:val="32"/>
          <w:vertAlign w:val="superscript"/>
        </w:rPr>
        <w:t>12</w:t>
      </w:r>
      <w:r>
        <w:rPr>
          <w:szCs w:val="32"/>
        </w:rPr>
        <w:t>之规定，建议由市应急管理局对其进行处罚。</w:t>
      </w:r>
    </w:p>
    <w:p>
      <w:pPr>
        <w:ind w:firstLine="632" w:firstLineChars="200"/>
        <w:rPr>
          <w:rFonts w:eastAsia="楷体_GB2312"/>
          <w:szCs w:val="32"/>
        </w:rPr>
      </w:pPr>
      <w:r>
        <w:rPr>
          <w:szCs w:val="32"/>
        </w:rPr>
        <mc:AlternateContent>
          <mc:Choice Requires="wps">
            <w:drawing>
              <wp:anchor distT="0" distB="0" distL="114300" distR="114300" simplePos="0" relativeHeight="251677696" behindDoc="0" locked="0" layoutInCell="1" allowOverlap="1">
                <wp:simplePos x="0" y="0"/>
                <wp:positionH relativeFrom="column">
                  <wp:posOffset>-44450</wp:posOffset>
                </wp:positionH>
                <wp:positionV relativeFrom="paragraph">
                  <wp:posOffset>41275</wp:posOffset>
                </wp:positionV>
                <wp:extent cx="5772785" cy="3759200"/>
                <wp:effectExtent l="0" t="0" r="0" b="0"/>
                <wp:wrapNone/>
                <wp:docPr id="19" name="文本框 36"/>
                <wp:cNvGraphicFramePr/>
                <a:graphic xmlns:a="http://schemas.openxmlformats.org/drawingml/2006/main">
                  <a:graphicData uri="http://schemas.microsoft.com/office/word/2010/wordprocessingShape">
                    <wps:wsp>
                      <wps:cNvSpPr txBox="1"/>
                      <wps:spPr>
                        <a:xfrm>
                          <a:off x="0" y="0"/>
                          <a:ext cx="5772785" cy="3759200"/>
                        </a:xfrm>
                        <a:prstGeom prst="rect">
                          <a:avLst/>
                        </a:prstGeom>
                        <a:noFill/>
                        <a:ln>
                          <a:noFill/>
                        </a:ln>
                      </wps:spPr>
                      <wps:txbx>
                        <w:txbxContent>
                          <w:p>
                            <w:pPr>
                              <w:spacing w:line="280" w:lineRule="exact"/>
                              <w:ind w:firstLine="0"/>
                              <w:rPr>
                                <w:rFonts w:ascii="仿宋_GB2312"/>
                                <w:sz w:val="15"/>
                                <w:szCs w:val="15"/>
                              </w:rPr>
                            </w:pPr>
                            <w:r>
                              <w:rPr>
                                <w:rFonts w:hint="eastAsia"/>
                                <w:sz w:val="21"/>
                                <w:szCs w:val="21"/>
                                <w:vertAlign w:val="superscript"/>
                              </w:rPr>
                              <w:t>8</w:t>
                            </w:r>
                            <w:r>
                              <w:rPr>
                                <w:rFonts w:hint="eastAsia" w:ascii="仿宋_GB2312"/>
                                <w:sz w:val="15"/>
                                <w:szCs w:val="15"/>
                              </w:rPr>
                              <w:t xml:space="preserve"> 《中华人民共和国安全生产法》第二十八条  生产经营单位应当对从业人员进行安全生产教育和培训，保证从业人员具备必要的安全生产知识，熟悉有关的安全生产规章制度和安全操作规程，掌握本岗位的安全操作技能，了解事故应急处理措施，知悉自身在安全生产方面的权利和义务。未经安全生产教育和培训合格的从业人员，不得上岗作业。</w:t>
                            </w:r>
                          </w:p>
                          <w:p>
                            <w:pPr>
                              <w:spacing w:line="280" w:lineRule="exact"/>
                              <w:ind w:firstLine="300" w:firstLineChars="200"/>
                              <w:rPr>
                                <w:rFonts w:ascii="仿宋_GB2312"/>
                                <w:sz w:val="15"/>
                                <w:szCs w:val="15"/>
                              </w:rPr>
                            </w:pPr>
                            <w:r>
                              <w:rPr>
                                <w:rFonts w:hint="eastAsia" w:ascii="仿宋_GB2312"/>
                                <w:sz w:val="15"/>
                                <w:szCs w:val="15"/>
                              </w:rPr>
                              <w:t>生产经营单位使用被派遣劳动者的，应当将被派遣劳动者纳入本单位从业人员统一管理，对被派遣劳动者进行岗位安全操作规程和安全操作技能的教育和培训。劳务派遣单位应当对被派遣劳动者进行必要的安全生产教育和培训。</w:t>
                            </w:r>
                          </w:p>
                          <w:p>
                            <w:pPr>
                              <w:spacing w:line="280" w:lineRule="exact"/>
                              <w:ind w:firstLine="300" w:firstLineChars="200"/>
                              <w:rPr>
                                <w:rFonts w:ascii="仿宋_GB2312"/>
                                <w:sz w:val="15"/>
                                <w:szCs w:val="15"/>
                              </w:rPr>
                            </w:pPr>
                            <w:r>
                              <w:rPr>
                                <w:rFonts w:hint="eastAsia" w:ascii="仿宋_GB2312"/>
                                <w:sz w:val="15"/>
                                <w:szCs w:val="15"/>
                              </w:rPr>
                              <w:t>生产经营单位应当建立安全生产教育和培训档案，如实记录安全生产教育和培训的时间、内容、参加人员以及考核结果等情况。</w:t>
                            </w:r>
                          </w:p>
                          <w:p>
                            <w:pPr>
                              <w:spacing w:line="280" w:lineRule="exact"/>
                              <w:ind w:firstLine="0"/>
                              <w:rPr>
                                <w:rFonts w:ascii="仿宋_GB2312"/>
                                <w:sz w:val="15"/>
                                <w:szCs w:val="15"/>
                              </w:rPr>
                            </w:pPr>
                            <w:r>
                              <w:rPr>
                                <w:rFonts w:hint="eastAsia"/>
                                <w:sz w:val="21"/>
                                <w:szCs w:val="21"/>
                                <w:vertAlign w:val="superscript"/>
                              </w:rPr>
                              <w:t>9</w:t>
                            </w:r>
                            <w:r>
                              <w:rPr>
                                <w:rFonts w:hint="eastAsia" w:ascii="仿宋_GB2312"/>
                                <w:sz w:val="15"/>
                                <w:szCs w:val="15"/>
                              </w:rPr>
                              <w:t xml:space="preserve"> 《中华人民共和国安全生产法》第四十四条  生产经营单位应当教育和督促从业人员严格执行本单位的安全生产规章制度和安全操作规程；并向从业人员如实告知作业场所和工作岗位存在的危险因素、防范措施以及事故应急措施。</w:t>
                            </w:r>
                          </w:p>
                          <w:p>
                            <w:pPr>
                              <w:spacing w:line="280" w:lineRule="exact"/>
                              <w:ind w:firstLine="0"/>
                              <w:rPr>
                                <w:rFonts w:ascii="仿宋_GB2312"/>
                                <w:sz w:val="15"/>
                                <w:szCs w:val="15"/>
                              </w:rPr>
                            </w:pPr>
                            <w:r>
                              <w:rPr>
                                <w:rFonts w:hint="eastAsia"/>
                                <w:sz w:val="21"/>
                                <w:szCs w:val="21"/>
                                <w:vertAlign w:val="superscript"/>
                              </w:rPr>
                              <w:t>10</w:t>
                            </w:r>
                            <w:r>
                              <w:rPr>
                                <w:rFonts w:hint="eastAsia" w:ascii="仿宋_GB2312"/>
                                <w:sz w:val="15"/>
                                <w:szCs w:val="15"/>
                              </w:rPr>
                              <w:t xml:space="preserve"> 《中华人民共和国安全生产法》第四十六条  生产经营单位的安全生产管理人员应当根据本单位的生产经营特点，对安全生产状况进行经常性检查；对检查中发现的安全问题，应当立即处理；不能处理的，应当及时报告本单位有关负责人，有关负责人应当及时处理。检查及处理情况应当如实记录在案。</w:t>
                            </w:r>
                          </w:p>
                          <w:p>
                            <w:pPr>
                              <w:spacing w:line="280" w:lineRule="exact"/>
                              <w:ind w:firstLine="300" w:firstLineChars="200"/>
                              <w:rPr>
                                <w:rFonts w:ascii="仿宋_GB2312"/>
                                <w:sz w:val="15"/>
                                <w:szCs w:val="15"/>
                              </w:rPr>
                            </w:pPr>
                            <w:r>
                              <w:rPr>
                                <w:rFonts w:hint="eastAsia" w:ascii="仿宋_GB2312"/>
                                <w:sz w:val="15"/>
                                <w:szCs w:val="15"/>
                              </w:rPr>
                              <w:t>生产经营单位的安全生产管理人员在检查中发生重大事故隐患，依照前款规定向本单位有关负责人报告，有关负责人不及时处理的，安全生产管理人员可以向主管的负有安全生产监督管理职责的部门报告，接到报告的部门应当依法及时处理。</w:t>
                            </w:r>
                          </w:p>
                          <w:p>
                            <w:pPr>
                              <w:spacing w:line="280" w:lineRule="exact"/>
                              <w:ind w:firstLine="0"/>
                              <w:rPr>
                                <w:rFonts w:ascii="仿宋_GB2312"/>
                                <w:sz w:val="15"/>
                                <w:szCs w:val="15"/>
                              </w:rPr>
                            </w:pPr>
                            <w:r>
                              <w:rPr>
                                <w:rFonts w:hint="eastAsia"/>
                                <w:sz w:val="21"/>
                                <w:szCs w:val="21"/>
                                <w:vertAlign w:val="superscript"/>
                              </w:rPr>
                              <w:t>11</w:t>
                            </w:r>
                            <w:r>
                              <w:rPr>
                                <w:rFonts w:hint="eastAsia" w:ascii="仿宋_GB2312"/>
                                <w:sz w:val="15"/>
                                <w:szCs w:val="15"/>
                              </w:rPr>
                              <w:t xml:space="preserve"> 《中华人民共和国安全生产法》第四十九条  生产经营单位不得将生产经营项目、场所、设备发包或者出租给不具备安全生产条件或者相应资质的单位或者个人。</w:t>
                            </w:r>
                          </w:p>
                          <w:p>
                            <w:pPr>
                              <w:spacing w:line="280" w:lineRule="exact"/>
                              <w:ind w:firstLine="300" w:firstLineChars="200"/>
                              <w:rPr>
                                <w:rFonts w:ascii="仿宋_GB2312"/>
                                <w:sz w:val="15"/>
                                <w:szCs w:val="15"/>
                              </w:rPr>
                            </w:pPr>
                            <w:r>
                              <w:rPr>
                                <w:rFonts w:hint="eastAsia" w:ascii="仿宋_GB2312"/>
                                <w:sz w:val="15"/>
                                <w:szCs w:val="15"/>
                              </w:rPr>
                              <w:t>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p>
                            <w:pPr>
                              <w:spacing w:line="280" w:lineRule="exact"/>
                              <w:ind w:firstLine="0"/>
                              <w:rPr>
                                <w:rFonts w:ascii="仿宋_GB2312"/>
                                <w:sz w:val="15"/>
                                <w:szCs w:val="15"/>
                              </w:rPr>
                            </w:pPr>
                            <w:r>
                              <w:rPr>
                                <w:rFonts w:hint="eastAsia"/>
                                <w:sz w:val="21"/>
                                <w:szCs w:val="21"/>
                                <w:vertAlign w:val="superscript"/>
                              </w:rPr>
                              <w:t>12</w:t>
                            </w:r>
                            <w:r>
                              <w:rPr>
                                <w:rFonts w:hint="eastAsia" w:ascii="仿宋_GB2312"/>
                                <w:sz w:val="15"/>
                                <w:szCs w:val="15"/>
                              </w:rPr>
                              <w:t xml:space="preserve"> 《中华人民共和国安全生产法》第一百一十四条  发生生产安全事故，对负有责任的生产经营单位除要求其依法承担相应的赔偿等责任外，由应急管理部门依照下列规定处以罚款:（一）发生一般事故的，处三十万元以上一百万元以下的罚款。</w:t>
                            </w:r>
                          </w:p>
                          <w:p>
                            <w:pPr>
                              <w:spacing w:line="280" w:lineRule="exact"/>
                              <w:ind w:firstLine="0"/>
                              <w:rPr>
                                <w:rFonts w:ascii="仿宋_GB2312"/>
                                <w:sz w:val="15"/>
                                <w:szCs w:val="15"/>
                              </w:rPr>
                            </w:pPr>
                          </w:p>
                        </w:txbxContent>
                      </wps:txbx>
                      <wps:bodyPr upright="1"/>
                    </wps:wsp>
                  </a:graphicData>
                </a:graphic>
              </wp:anchor>
            </w:drawing>
          </mc:Choice>
          <mc:Fallback>
            <w:pict>
              <v:shape id="文本框 36" o:spid="_x0000_s1026" o:spt="202" type="#_x0000_t202" style="position:absolute;left:0pt;margin-left:-3.5pt;margin-top:3.25pt;height:296pt;width:454.55pt;z-index:251677696;mso-width-relative:page;mso-height-relative:page;" filled="f" stroked="f" coordsize="21600,21600" o:gfxdata="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hRMm/&#10;1wAAAAgBAAAPAAAAAAAAAAEAIAAAACIAAABkcnMvZG93bnJldi54bWxQSwECFAAUAAAACACHTuJA&#10;LXtI/rABAABRAwAADgAAAAAAAAABACAAAAAmAQAAZHJzL2Uyb0RvYy54bWxQSwUGAAAAAAYABgBZ&#10;AQAASAUAAAAA&#10;">
                <v:fill on="f" focussize="0,0"/>
                <v:stroke on="f"/>
                <v:imagedata o:title=""/>
                <o:lock v:ext="edit" aspectratio="f"/>
                <v:textbox>
                  <w:txbxContent>
                    <w:p>
                      <w:pPr>
                        <w:spacing w:line="280" w:lineRule="exact"/>
                        <w:ind w:firstLine="0"/>
                        <w:rPr>
                          <w:rFonts w:ascii="仿宋_GB2312"/>
                          <w:sz w:val="15"/>
                          <w:szCs w:val="15"/>
                        </w:rPr>
                      </w:pPr>
                      <w:r>
                        <w:rPr>
                          <w:rFonts w:hint="eastAsia"/>
                          <w:sz w:val="21"/>
                          <w:szCs w:val="21"/>
                          <w:vertAlign w:val="superscript"/>
                        </w:rPr>
                        <w:t>8</w:t>
                      </w:r>
                      <w:r>
                        <w:rPr>
                          <w:rFonts w:hint="eastAsia" w:ascii="仿宋_GB2312"/>
                          <w:sz w:val="15"/>
                          <w:szCs w:val="15"/>
                        </w:rPr>
                        <w:t xml:space="preserve"> 《中华人民共和国安全生产法》第二十八条  生产经营单位应当对从业人员进行安全生产教育和培训，保证从业人员具备必要的安全生产知识，熟悉有关的安全生产规章制度和安全操作规程，掌握本岗位的安全操作技能，了解事故应急处理措施，知悉自身在安全生产方面的权利和义务。未经安全生产教育和培训合格的从业人员，不得上岗作业。</w:t>
                      </w:r>
                    </w:p>
                    <w:p>
                      <w:pPr>
                        <w:spacing w:line="280" w:lineRule="exact"/>
                        <w:ind w:firstLine="300" w:firstLineChars="200"/>
                        <w:rPr>
                          <w:rFonts w:ascii="仿宋_GB2312"/>
                          <w:sz w:val="15"/>
                          <w:szCs w:val="15"/>
                        </w:rPr>
                      </w:pPr>
                      <w:r>
                        <w:rPr>
                          <w:rFonts w:hint="eastAsia" w:ascii="仿宋_GB2312"/>
                          <w:sz w:val="15"/>
                          <w:szCs w:val="15"/>
                        </w:rPr>
                        <w:t>生产经营单位使用被派遣劳动者的，应当将被派遣劳动者纳入本单位从业人员统一管理，对被派遣劳动者进行岗位安全操作规程和安全操作技能的教育和培训。劳务派遣单位应当对被派遣劳动者进行必要的安全生产教育和培训。</w:t>
                      </w:r>
                    </w:p>
                    <w:p>
                      <w:pPr>
                        <w:spacing w:line="280" w:lineRule="exact"/>
                        <w:ind w:firstLine="300" w:firstLineChars="200"/>
                        <w:rPr>
                          <w:rFonts w:ascii="仿宋_GB2312"/>
                          <w:sz w:val="15"/>
                          <w:szCs w:val="15"/>
                        </w:rPr>
                      </w:pPr>
                      <w:r>
                        <w:rPr>
                          <w:rFonts w:hint="eastAsia" w:ascii="仿宋_GB2312"/>
                          <w:sz w:val="15"/>
                          <w:szCs w:val="15"/>
                        </w:rPr>
                        <w:t>生产经营单位应当建立安全生产教育和培训档案，如实记录安全生产教育和培训的时间、内容、参加人员以及考核结果等情况。</w:t>
                      </w:r>
                    </w:p>
                    <w:p>
                      <w:pPr>
                        <w:spacing w:line="280" w:lineRule="exact"/>
                        <w:ind w:firstLine="0"/>
                        <w:rPr>
                          <w:rFonts w:ascii="仿宋_GB2312"/>
                          <w:sz w:val="15"/>
                          <w:szCs w:val="15"/>
                        </w:rPr>
                      </w:pPr>
                      <w:r>
                        <w:rPr>
                          <w:rFonts w:hint="eastAsia"/>
                          <w:sz w:val="21"/>
                          <w:szCs w:val="21"/>
                          <w:vertAlign w:val="superscript"/>
                        </w:rPr>
                        <w:t>9</w:t>
                      </w:r>
                      <w:r>
                        <w:rPr>
                          <w:rFonts w:hint="eastAsia" w:ascii="仿宋_GB2312"/>
                          <w:sz w:val="15"/>
                          <w:szCs w:val="15"/>
                        </w:rPr>
                        <w:t xml:space="preserve"> 《中华人民共和国安全生产法》第四十四条  生产经营单位应当教育和督促从业人员严格执行本单位的安全生产规章制度和安全操作规程；并向从业人员如实告知作业场所和工作岗位存在的危险因素、防范措施以及事故应急措施。</w:t>
                      </w:r>
                    </w:p>
                    <w:p>
                      <w:pPr>
                        <w:spacing w:line="280" w:lineRule="exact"/>
                        <w:ind w:firstLine="0"/>
                        <w:rPr>
                          <w:rFonts w:ascii="仿宋_GB2312"/>
                          <w:sz w:val="15"/>
                          <w:szCs w:val="15"/>
                        </w:rPr>
                      </w:pPr>
                      <w:r>
                        <w:rPr>
                          <w:rFonts w:hint="eastAsia"/>
                          <w:sz w:val="21"/>
                          <w:szCs w:val="21"/>
                          <w:vertAlign w:val="superscript"/>
                        </w:rPr>
                        <w:t>10</w:t>
                      </w:r>
                      <w:r>
                        <w:rPr>
                          <w:rFonts w:hint="eastAsia" w:ascii="仿宋_GB2312"/>
                          <w:sz w:val="15"/>
                          <w:szCs w:val="15"/>
                        </w:rPr>
                        <w:t xml:space="preserve"> 《中华人民共和国安全生产法》第四十六条  生产经营单位的安全生产管理人员应当根据本单位的生产经营特点，对安全生产状况进行经常性检查；对检查中发现的安全问题，应当立即处理；不能处理的，应当及时报告本单位有关负责人，有关负责人应当及时处理。检查及处理情况应当如实记录在案。</w:t>
                      </w:r>
                    </w:p>
                    <w:p>
                      <w:pPr>
                        <w:spacing w:line="280" w:lineRule="exact"/>
                        <w:ind w:firstLine="300" w:firstLineChars="200"/>
                        <w:rPr>
                          <w:rFonts w:ascii="仿宋_GB2312"/>
                          <w:sz w:val="15"/>
                          <w:szCs w:val="15"/>
                        </w:rPr>
                      </w:pPr>
                      <w:r>
                        <w:rPr>
                          <w:rFonts w:hint="eastAsia" w:ascii="仿宋_GB2312"/>
                          <w:sz w:val="15"/>
                          <w:szCs w:val="15"/>
                        </w:rPr>
                        <w:t>生产经营单位的安全生产管理人员在检查中发生重大事故隐患，依照前款规定向本单位有关负责人报告，有关负责人不及时处理的，安全生产管理人员可以向主管的负有安全生产监督管理职责的部门报告，接到报告的部门应当依法及时处理。</w:t>
                      </w:r>
                    </w:p>
                    <w:p>
                      <w:pPr>
                        <w:spacing w:line="280" w:lineRule="exact"/>
                        <w:ind w:firstLine="0"/>
                        <w:rPr>
                          <w:rFonts w:ascii="仿宋_GB2312"/>
                          <w:sz w:val="15"/>
                          <w:szCs w:val="15"/>
                        </w:rPr>
                      </w:pPr>
                      <w:r>
                        <w:rPr>
                          <w:rFonts w:hint="eastAsia"/>
                          <w:sz w:val="21"/>
                          <w:szCs w:val="21"/>
                          <w:vertAlign w:val="superscript"/>
                        </w:rPr>
                        <w:t>11</w:t>
                      </w:r>
                      <w:r>
                        <w:rPr>
                          <w:rFonts w:hint="eastAsia" w:ascii="仿宋_GB2312"/>
                          <w:sz w:val="15"/>
                          <w:szCs w:val="15"/>
                        </w:rPr>
                        <w:t xml:space="preserve"> 《中华人民共和国安全生产法》第四十九条  生产经营单位不得将生产经营项目、场所、设备发包或者出租给不具备安全生产条件或者相应资质的单位或者个人。</w:t>
                      </w:r>
                    </w:p>
                    <w:p>
                      <w:pPr>
                        <w:spacing w:line="280" w:lineRule="exact"/>
                        <w:ind w:firstLine="300" w:firstLineChars="200"/>
                        <w:rPr>
                          <w:rFonts w:ascii="仿宋_GB2312"/>
                          <w:sz w:val="15"/>
                          <w:szCs w:val="15"/>
                        </w:rPr>
                      </w:pPr>
                      <w:r>
                        <w:rPr>
                          <w:rFonts w:hint="eastAsia" w:ascii="仿宋_GB2312"/>
                          <w:sz w:val="15"/>
                          <w:szCs w:val="15"/>
                        </w:rPr>
                        <w:t>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p>
                      <w:pPr>
                        <w:spacing w:line="280" w:lineRule="exact"/>
                        <w:ind w:firstLine="0"/>
                        <w:rPr>
                          <w:rFonts w:ascii="仿宋_GB2312"/>
                          <w:sz w:val="15"/>
                          <w:szCs w:val="15"/>
                        </w:rPr>
                      </w:pPr>
                      <w:r>
                        <w:rPr>
                          <w:rFonts w:hint="eastAsia"/>
                          <w:sz w:val="21"/>
                          <w:szCs w:val="21"/>
                          <w:vertAlign w:val="superscript"/>
                        </w:rPr>
                        <w:t>12</w:t>
                      </w:r>
                      <w:r>
                        <w:rPr>
                          <w:rFonts w:hint="eastAsia" w:ascii="仿宋_GB2312"/>
                          <w:sz w:val="15"/>
                          <w:szCs w:val="15"/>
                        </w:rPr>
                        <w:t xml:space="preserve"> 《中华人民共和国安全生产法》第一百一十四条  发生生产安全事故，对负有责任的生产经营单位除要求其依法承担相应的赔偿等责任外，由应急管理部门依照下列规定处以罚款:（一）发生一般事故的，处三十万元以上一百万元以下的罚款。</w:t>
                      </w:r>
                    </w:p>
                    <w:p>
                      <w:pPr>
                        <w:spacing w:line="280" w:lineRule="exact"/>
                        <w:ind w:firstLine="0"/>
                        <w:rPr>
                          <w:rFonts w:ascii="仿宋_GB2312"/>
                          <w:sz w:val="15"/>
                          <w:szCs w:val="15"/>
                        </w:rPr>
                      </w:pPr>
                    </w:p>
                  </w:txbxContent>
                </v:textbox>
              </v:shape>
            </w:pict>
          </mc:Fallback>
        </mc:AlternateContent>
      </w:r>
      <w:r>
        <w:rPr>
          <w:szCs w:val="32"/>
        </w:rPr>
        <mc:AlternateContent>
          <mc:Choice Requires="wps">
            <w:drawing>
              <wp:anchor distT="0" distB="0" distL="114300" distR="114300" simplePos="0" relativeHeight="251678720" behindDoc="0" locked="0" layoutInCell="1" allowOverlap="1">
                <wp:simplePos x="0" y="0"/>
                <wp:positionH relativeFrom="column">
                  <wp:posOffset>25400</wp:posOffset>
                </wp:positionH>
                <wp:positionV relativeFrom="paragraph">
                  <wp:posOffset>41275</wp:posOffset>
                </wp:positionV>
                <wp:extent cx="2331085" cy="0"/>
                <wp:effectExtent l="0" t="0" r="0" b="0"/>
                <wp:wrapNone/>
                <wp:docPr id="20" name="自选图形 37"/>
                <wp:cNvGraphicFramePr/>
                <a:graphic xmlns:a="http://schemas.openxmlformats.org/drawingml/2006/main">
                  <a:graphicData uri="http://schemas.microsoft.com/office/word/2010/wordprocessingShape">
                    <wps:wsp>
                      <wps:cNvCnPr/>
                      <wps:spPr>
                        <a:xfrm>
                          <a:off x="0" y="0"/>
                          <a:ext cx="233108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7" o:spid="_x0000_s1026" o:spt="32" type="#_x0000_t32" style="position:absolute;left:0pt;margin-left:2pt;margin-top:3.25pt;height:0pt;width:183.55pt;z-index:251678720;mso-width-relative:page;mso-height-relative:page;" filled="f" stroked="t" coordsize="21600,21600" o:gfxdata="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ToAyh9QAAAAFAQAADwAAAAAAAAABACAAAAAiAAAAZHJzL2Rvd25yZXYueG1sUEsBAhQA&#10;FAAAAAgAh07iQLiAAvT2AQAA5QMAAA4AAAAAAAAAAQAgAAAAIwEAAGRycy9lMm9Eb2MueG1sUEsF&#10;BgAAAAAGAAYAWQEAAIsFAAAAAA==&#10;">
                <v:fill on="f" focussize="0,0"/>
                <v:stroke color="#000000" joinstyle="round"/>
                <v:imagedata o:title=""/>
                <o:lock v:ext="edit" aspectratio="f"/>
              </v:shape>
            </w:pict>
          </mc:Fallback>
        </mc:AlternateContent>
      </w:r>
      <w:r>
        <w:rPr>
          <w:szCs w:val="32"/>
        </w:rPr>
        <w:br w:type="page"/>
      </w:r>
    </w:p>
    <w:p>
      <w:pPr>
        <w:ind w:firstLine="632" w:firstLineChars="200"/>
      </w:pPr>
      <w:r>
        <w:rPr>
          <w:szCs w:val="32"/>
        </w:rPr>
        <w:t>2.淮安朝霆公司，</w:t>
      </w:r>
      <w:r>
        <w:rPr>
          <w:color w:val="000000"/>
          <w:szCs w:val="32"/>
        </w:rPr>
        <w:t>违反</w:t>
      </w:r>
      <w:r>
        <w:rPr>
          <w:szCs w:val="32"/>
        </w:rPr>
        <w:t>《中华人民共和国安全生产法》第二十条</w:t>
      </w:r>
      <w:r>
        <w:rPr>
          <w:szCs w:val="32"/>
          <w:vertAlign w:val="superscript"/>
        </w:rPr>
        <w:t>13</w:t>
      </w:r>
      <w:r>
        <w:rPr>
          <w:szCs w:val="32"/>
        </w:rPr>
        <w:t>、第二十八条、第四十四条、第四十六条、第四十九条规</w:t>
      </w:r>
    </w:p>
    <w:p>
      <w:pPr>
        <w:ind w:firstLine="0"/>
        <w:rPr>
          <w:szCs w:val="32"/>
        </w:rPr>
      </w:pPr>
      <w:r>
        <w:rPr>
          <w:szCs w:val="32"/>
        </w:rPr>
        <w:t>定，依据《中华人民共和国安全生产法》第一百一十四条第一款之规定，建议由市应急管理局对其进行处罚。</w:t>
      </w:r>
    </w:p>
    <w:p>
      <w:pPr>
        <w:ind w:firstLine="632" w:firstLineChars="200"/>
        <w:rPr>
          <w:szCs w:val="32"/>
        </w:rPr>
      </w:pPr>
      <w:r>
        <w:rPr>
          <w:szCs w:val="32"/>
        </w:rPr>
        <w:t>3.常熟鑫安公司，</w:t>
      </w:r>
      <w:r>
        <w:rPr>
          <w:color w:val="000000"/>
          <w:szCs w:val="32"/>
        </w:rPr>
        <w:t>违反</w:t>
      </w:r>
      <w:r>
        <w:rPr>
          <w:szCs w:val="32"/>
        </w:rPr>
        <w:t>《中华人民共和国安全生产法》第二十八条、第四十四条、第四十六条、第四十九条、第五十二条</w:t>
      </w:r>
      <w:r>
        <w:rPr>
          <w:szCs w:val="32"/>
          <w:vertAlign w:val="superscript"/>
        </w:rPr>
        <w:t>14</w:t>
      </w:r>
      <w:r>
        <w:rPr>
          <w:szCs w:val="32"/>
        </w:rPr>
        <w:t>规定，</w:t>
      </w:r>
      <w:r>
        <w:rPr>
          <w:color w:val="000000"/>
          <w:szCs w:val="32"/>
        </w:rPr>
        <w:t>依据《中华人民共和国安全生产法》第一</w:t>
      </w:r>
      <w:r>
        <w:rPr>
          <w:szCs w:val="32"/>
        </w:rPr>
        <w:t>百一十四条第一款之规定，建议由市应急管理局对其进行处罚。</w:t>
      </w:r>
    </w:p>
    <w:p>
      <w:pPr>
        <w:ind w:firstLine="632" w:firstLineChars="200"/>
        <w:rPr>
          <w:szCs w:val="32"/>
        </w:rPr>
      </w:pPr>
      <w:r>
        <w:rPr>
          <w:color w:val="000000"/>
          <w:szCs w:val="32"/>
        </w:rPr>
        <w:t>4.润科集团，违反</w:t>
      </w:r>
      <w:r>
        <w:rPr>
          <w:szCs w:val="32"/>
        </w:rPr>
        <w:t>《中华人民共和国安全生产法》第二十八条、第四十四条、第四十六条、第四十九条规定，</w:t>
      </w:r>
      <w:r>
        <w:rPr>
          <w:color w:val="000000"/>
          <w:szCs w:val="32"/>
        </w:rPr>
        <w:t>依据《中华人民共和国安全生产法》第一</w:t>
      </w:r>
      <w:r>
        <w:rPr>
          <w:szCs w:val="32"/>
        </w:rPr>
        <w:t>百一十四条第一款之规定，建议由市应急管理局对其进行处罚。</w:t>
      </w:r>
    </w:p>
    <w:p>
      <w:pPr>
        <w:ind w:firstLine="632" w:firstLineChars="200"/>
        <w:rPr>
          <w:szCs w:val="32"/>
        </w:rPr>
      </w:pPr>
      <w:r>
        <w:rPr>
          <w:szCs w:val="32"/>
        </w:rPr>
        <w:t>5.市政公用公司，建议向城建控股集团作出深刻检查。</w:t>
      </w:r>
    </w:p>
    <w:p>
      <w:pPr>
        <w:widowControl/>
        <w:ind w:firstLine="632" w:firstLineChars="200"/>
        <w:rPr>
          <w:rFonts w:eastAsia="楷体_GB2312"/>
          <w:szCs w:val="32"/>
        </w:rPr>
      </w:pPr>
      <w:r>
        <w:rPr>
          <w:rFonts w:eastAsia="楷体_GB2312"/>
          <w:color w:val="000000"/>
          <w:szCs w:val="32"/>
        </w:rPr>
        <w:t>（六）</w:t>
      </w:r>
      <w:r>
        <w:rPr>
          <w:rFonts w:eastAsia="楷体_GB2312"/>
          <w:szCs w:val="32"/>
        </w:rPr>
        <w:t>有关行业监管部门</w:t>
      </w:r>
    </w:p>
    <w:p>
      <w:pPr>
        <w:ind w:firstLine="632" w:firstLineChars="200"/>
        <w:rPr>
          <w:szCs w:val="32"/>
        </w:rPr>
      </w:pPr>
      <w:r>
        <w:rPr>
          <w:bCs/>
          <w:kern w:val="0"/>
          <w:szCs w:val="32"/>
        </w:rPr>
        <w:t>建议市住建局进一步厘清市、海州区两级住建部门关于城市地下管网领域各自监管职责，明确各自监管责任，并对</w:t>
      </w:r>
      <w:r>
        <w:rPr>
          <w:szCs w:val="32"/>
        </w:rPr>
        <w:t>高新区地下排水管网排查检测工程行业监管情况进行自查，</w:t>
      </w:r>
      <w:r>
        <w:rPr>
          <w:bCs/>
          <w:kern w:val="0"/>
          <w:szCs w:val="32"/>
        </w:rPr>
        <w:t>自查及整改情况报市纪委监委和市应急管理局。</w:t>
      </w:r>
    </w:p>
    <w:p>
      <w:pPr>
        <w:widowControl/>
        <w:spacing w:line="240" w:lineRule="auto"/>
        <w:ind w:firstLine="632" w:firstLineChars="200"/>
        <w:jc w:val="left"/>
        <w:rPr>
          <w:rFonts w:eastAsia="黑体"/>
          <w:color w:val="000000"/>
          <w:szCs w:val="32"/>
        </w:rPr>
      </w:pPr>
      <w:r>
        <w:rPr>
          <w:rFonts w:eastAsia="黑体"/>
          <w:color w:val="000000"/>
          <w:szCs w:val="32"/>
        </w:rPr>
        <w:t>六、主要教训</w:t>
      </w:r>
    </w:p>
    <w:p>
      <w:pPr>
        <w:ind w:firstLine="632" w:firstLineChars="200"/>
        <w:rPr>
          <w:rFonts w:eastAsia="楷体_GB2312"/>
          <w:color w:val="000000"/>
          <w:szCs w:val="32"/>
        </w:rPr>
      </w:pPr>
      <w:r>
        <w:rPr>
          <w:rFonts w:eastAsia="楷体_GB2312"/>
          <w:color w:val="000000"/>
          <w:szCs w:val="32"/>
        </w:rPr>
        <w:t>（一）责任悬空，压力传导不到位</w:t>
      </w:r>
    </w:p>
    <w:p>
      <w:pPr>
        <w:widowControl/>
        <w:spacing w:line="240" w:lineRule="auto"/>
        <w:ind w:firstLine="632" w:firstLineChars="200"/>
        <w:jc w:val="left"/>
        <w:rPr>
          <w:kern w:val="0"/>
          <w:szCs w:val="32"/>
        </w:rPr>
      </w:pPr>
      <w:r>
        <w:rPr>
          <w:color w:val="000000"/>
          <w:szCs w:val="32"/>
        </w:rPr>
        <mc:AlternateContent>
          <mc:Choice Requires="wps">
            <w:drawing>
              <wp:anchor distT="0" distB="0" distL="114300" distR="114300" simplePos="0" relativeHeight="251667456" behindDoc="0" locked="0" layoutInCell="1" allowOverlap="1">
                <wp:simplePos x="0" y="0"/>
                <wp:positionH relativeFrom="column">
                  <wp:posOffset>-22860</wp:posOffset>
                </wp:positionH>
                <wp:positionV relativeFrom="paragraph">
                  <wp:posOffset>80645</wp:posOffset>
                </wp:positionV>
                <wp:extent cx="1844040" cy="0"/>
                <wp:effectExtent l="0" t="0" r="0" b="0"/>
                <wp:wrapNone/>
                <wp:docPr id="10" name="自选图形 27"/>
                <wp:cNvGraphicFramePr/>
                <a:graphic xmlns:a="http://schemas.openxmlformats.org/drawingml/2006/main">
                  <a:graphicData uri="http://schemas.microsoft.com/office/word/2010/wordprocessingShape">
                    <wps:wsp>
                      <wps:cNvCnPr/>
                      <wps:spPr>
                        <a:xfrm>
                          <a:off x="0" y="0"/>
                          <a:ext cx="184404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7" o:spid="_x0000_s1026" o:spt="32" type="#_x0000_t32" style="position:absolute;left:0pt;margin-left:-1.8pt;margin-top:6.35pt;height:0pt;width:145.2pt;z-index:251667456;mso-width-relative:page;mso-height-relative:page;" filled="f" stroked="t" coordsize="21600,21600" o:gfxdata="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vaKC1gAAAAgBAAAPAAAAAAAAAAEAIAAAACIAAABkcnMvZG93bnJldi54bWxQSwEC&#10;FAAUAAAACACHTuJAAnGfR/YBAADlAwAADgAAAAAAAAABACAAAAAlAQAAZHJzL2Uyb0RvYy54bWxQ&#10;SwUGAAAAAAYABgBZAQAAjQUAAAAA&#10;">
                <v:fill on="f" focussize="0,0"/>
                <v:stroke color="#000000" joinstyle="round"/>
                <v:imagedata o:title=""/>
                <o:lock v:ext="edit" aspectratio="f"/>
              </v:shape>
            </w:pict>
          </mc:Fallback>
        </mc:AlternateContent>
      </w:r>
      <w:r>
        <w:rPr>
          <w:color w:val="000000"/>
          <w:szCs w:val="32"/>
        </w:rPr>
        <mc:AlternateContent>
          <mc:Choice Requires="wps">
            <w:drawing>
              <wp:anchor distT="0" distB="0" distL="114300" distR="114300" simplePos="0" relativeHeight="251666432" behindDoc="0" locked="0" layoutInCell="1" allowOverlap="1">
                <wp:simplePos x="0" y="0"/>
                <wp:positionH relativeFrom="column">
                  <wp:posOffset>-99060</wp:posOffset>
                </wp:positionH>
                <wp:positionV relativeFrom="paragraph">
                  <wp:posOffset>80645</wp:posOffset>
                </wp:positionV>
                <wp:extent cx="5772785" cy="848995"/>
                <wp:effectExtent l="0" t="0" r="0" b="0"/>
                <wp:wrapNone/>
                <wp:docPr id="9" name="文本框 26"/>
                <wp:cNvGraphicFramePr/>
                <a:graphic xmlns:a="http://schemas.openxmlformats.org/drawingml/2006/main">
                  <a:graphicData uri="http://schemas.microsoft.com/office/word/2010/wordprocessingShape">
                    <wps:wsp>
                      <wps:cNvSpPr txBox="1"/>
                      <wps:spPr>
                        <a:xfrm>
                          <a:off x="0" y="0"/>
                          <a:ext cx="5772785" cy="848995"/>
                        </a:xfrm>
                        <a:prstGeom prst="rect">
                          <a:avLst/>
                        </a:prstGeom>
                        <a:noFill/>
                        <a:ln>
                          <a:noFill/>
                        </a:ln>
                      </wps:spPr>
                      <wps:txbx>
                        <w:txbxContent>
                          <w:p>
                            <w:pPr>
                              <w:spacing w:line="240" w:lineRule="exact"/>
                              <w:ind w:firstLine="0"/>
                              <w:rPr>
                                <w:rFonts w:ascii="仿宋_GB2312"/>
                                <w:sz w:val="15"/>
                                <w:szCs w:val="15"/>
                              </w:rPr>
                            </w:pPr>
                            <w:r>
                              <w:rPr>
                                <w:rFonts w:hint="eastAsia"/>
                                <w:sz w:val="21"/>
                                <w:szCs w:val="21"/>
                                <w:vertAlign w:val="superscript"/>
                              </w:rPr>
                              <w:t>13</w:t>
                            </w:r>
                            <w:r>
                              <w:rPr>
                                <w:rFonts w:hint="eastAsia" w:ascii="仿宋_GB2312"/>
                                <w:sz w:val="15"/>
                                <w:szCs w:val="15"/>
                              </w:rPr>
                              <w:t xml:space="preserve"> 《中华人民共和国安全生产法》第二十条  生产经营单位应当具备本法和有关法律、行政法规和国家标准或者行业标准规定的安全生产条件；不具备安全生产条件的，不得从事生产经营活动。</w:t>
                            </w:r>
                          </w:p>
                          <w:p>
                            <w:pPr>
                              <w:spacing w:line="240" w:lineRule="exact"/>
                              <w:ind w:firstLine="0"/>
                              <w:rPr>
                                <w:rFonts w:ascii="仿宋_GB2312"/>
                                <w:sz w:val="15"/>
                                <w:szCs w:val="15"/>
                              </w:rPr>
                            </w:pPr>
                            <w:r>
                              <w:rPr>
                                <w:rFonts w:hint="eastAsia"/>
                                <w:sz w:val="21"/>
                                <w:szCs w:val="21"/>
                                <w:vertAlign w:val="superscript"/>
                              </w:rPr>
                              <w:t>14</w:t>
                            </w:r>
                            <w:r>
                              <w:rPr>
                                <w:rFonts w:hint="eastAsia" w:ascii="仿宋_GB2312"/>
                                <w:sz w:val="15"/>
                                <w:szCs w:val="15"/>
                              </w:rPr>
                              <w:t xml:space="preserve"> 《中华人民共和国安全生产法》第五十二条  生产经营单位与从业人员订立的劳动合同，应当载明有关保障从业人员劳动安全、防止职业危害的事项，以及依法为从业人员办理工伤保险的事项。</w:t>
                            </w:r>
                          </w:p>
                          <w:p>
                            <w:pPr>
                              <w:spacing w:line="240" w:lineRule="exact"/>
                              <w:ind w:firstLine="300" w:firstLineChars="200"/>
                              <w:rPr>
                                <w:rFonts w:ascii="仿宋_GB2312"/>
                                <w:sz w:val="15"/>
                                <w:szCs w:val="15"/>
                              </w:rPr>
                            </w:pPr>
                            <w:r>
                              <w:rPr>
                                <w:rFonts w:hint="eastAsia" w:ascii="仿宋_GB2312"/>
                                <w:sz w:val="15"/>
                                <w:szCs w:val="15"/>
                              </w:rPr>
                              <w:t>生产经营单位不得以任何形式与从业人员订立协议，免除或者减轻其对从业人员因生产安全事故伤亡依法承担的责任。</w:t>
                            </w:r>
                          </w:p>
                        </w:txbxContent>
                      </wps:txbx>
                      <wps:bodyPr upright="1"/>
                    </wps:wsp>
                  </a:graphicData>
                </a:graphic>
              </wp:anchor>
            </w:drawing>
          </mc:Choice>
          <mc:Fallback>
            <w:pict>
              <v:shape id="文本框 26" o:spid="_x0000_s1026" o:spt="202" type="#_x0000_t202" style="position:absolute;left:0pt;margin-left:-7.8pt;margin-top:6.35pt;height:66.85pt;width:454.55pt;z-index:251666432;mso-width-relative:page;mso-height-relative:page;" filled="f" stroked="f" coordsize="21600,21600" o:gfxdata="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RZJpjY&#10;AAAACgEAAA8AAAAAAAAAAQAgAAAAIgAAAGRycy9kb3ducmV2LnhtbFBLAQIUABQAAAAIAIdO4kAc&#10;rOebrgEAAE8DAAAOAAAAAAAAAAEAIAAAACcBAABkcnMvZTJvRG9jLnhtbFBLBQYAAAAABgAGAFkB&#10;AABHBQAAAAA=&#10;">
                <v:fill on="f" focussize="0,0"/>
                <v:stroke on="f"/>
                <v:imagedata o:title=""/>
                <o:lock v:ext="edit" aspectratio="f"/>
                <v:textbox>
                  <w:txbxContent>
                    <w:p>
                      <w:pPr>
                        <w:spacing w:line="240" w:lineRule="exact"/>
                        <w:ind w:firstLine="0"/>
                        <w:rPr>
                          <w:rFonts w:ascii="仿宋_GB2312"/>
                          <w:sz w:val="15"/>
                          <w:szCs w:val="15"/>
                        </w:rPr>
                      </w:pPr>
                      <w:r>
                        <w:rPr>
                          <w:rFonts w:hint="eastAsia"/>
                          <w:sz w:val="21"/>
                          <w:szCs w:val="21"/>
                          <w:vertAlign w:val="superscript"/>
                        </w:rPr>
                        <w:t>13</w:t>
                      </w:r>
                      <w:r>
                        <w:rPr>
                          <w:rFonts w:hint="eastAsia" w:ascii="仿宋_GB2312"/>
                          <w:sz w:val="15"/>
                          <w:szCs w:val="15"/>
                        </w:rPr>
                        <w:t xml:space="preserve"> 《中华人民共和国安全生产法》第二十条  生产经营单位应当具备本法和有关法律、行政法规和国家标准或者行业标准规定的安全生产条件；不具备安全生产条件的，不得从事生产经营活动。</w:t>
                      </w:r>
                    </w:p>
                    <w:p>
                      <w:pPr>
                        <w:spacing w:line="240" w:lineRule="exact"/>
                        <w:ind w:firstLine="0"/>
                        <w:rPr>
                          <w:rFonts w:ascii="仿宋_GB2312"/>
                          <w:sz w:val="15"/>
                          <w:szCs w:val="15"/>
                        </w:rPr>
                      </w:pPr>
                      <w:r>
                        <w:rPr>
                          <w:rFonts w:hint="eastAsia"/>
                          <w:sz w:val="21"/>
                          <w:szCs w:val="21"/>
                          <w:vertAlign w:val="superscript"/>
                        </w:rPr>
                        <w:t>14</w:t>
                      </w:r>
                      <w:r>
                        <w:rPr>
                          <w:rFonts w:hint="eastAsia" w:ascii="仿宋_GB2312"/>
                          <w:sz w:val="15"/>
                          <w:szCs w:val="15"/>
                        </w:rPr>
                        <w:t xml:space="preserve"> 《中华人民共和国安全生产法》第五十二条  生产经营单位与从业人员订立的劳动合同，应当载明有关保障从业人员劳动安全、防止职业危害的事项，以及依法为从业人员办理工伤保险的事项。</w:t>
                      </w:r>
                    </w:p>
                    <w:p>
                      <w:pPr>
                        <w:spacing w:line="240" w:lineRule="exact"/>
                        <w:ind w:firstLine="300" w:firstLineChars="200"/>
                        <w:rPr>
                          <w:rFonts w:ascii="仿宋_GB2312"/>
                          <w:sz w:val="15"/>
                          <w:szCs w:val="15"/>
                        </w:rPr>
                      </w:pPr>
                      <w:r>
                        <w:rPr>
                          <w:rFonts w:hint="eastAsia" w:ascii="仿宋_GB2312"/>
                          <w:sz w:val="15"/>
                          <w:szCs w:val="15"/>
                        </w:rPr>
                        <w:t>生产经营单位不得以任何形式与从业人员订立协议，免除或者减轻其对从业人员因生产安全事故伤亡依法承担的责任。</w:t>
                      </w:r>
                    </w:p>
                  </w:txbxContent>
                </v:textbox>
              </v:shape>
            </w:pict>
          </mc:Fallback>
        </mc:AlternateContent>
      </w:r>
      <w:r>
        <w:rPr>
          <w:szCs w:val="32"/>
        </w:rPr>
        <w:br w:type="page"/>
      </w:r>
    </w:p>
    <w:p>
      <w:pPr>
        <w:ind w:firstLine="632" w:firstLineChars="200"/>
        <w:rPr>
          <w:color w:val="000000"/>
          <w:szCs w:val="32"/>
        </w:rPr>
      </w:pPr>
      <w:r>
        <w:rPr>
          <w:color w:val="000000"/>
          <w:szCs w:val="32"/>
        </w:rPr>
        <w:t>相关行业监管部门及企业未严格落实《关于深化提升安全生产专项整治三年行动的实施方案》第三十五条“持续提升企业有限空间作业管理水平”、第三十六条“持续强化‘三外’项目安全监管”相关要求，未按照《市安委会办公室关于切实做好疫情防控期间复工复产安全生产工作的通知》、</w:t>
      </w:r>
      <w:r>
        <w:t>“风险管控隐患排查月”开展</w:t>
      </w:r>
      <w:r>
        <w:rPr>
          <w:color w:val="000000"/>
          <w:szCs w:val="32"/>
        </w:rPr>
        <w:t>风险辨识和隐患排查，各级责任未压紧压实，未形成责任链条与工作合力，存在上热下冷、上紧下松等问题。</w:t>
      </w:r>
    </w:p>
    <w:p>
      <w:pPr>
        <w:ind w:firstLine="632" w:firstLineChars="200"/>
        <w:rPr>
          <w:rFonts w:eastAsia="楷体_GB2312"/>
          <w:color w:val="000000"/>
          <w:szCs w:val="32"/>
        </w:rPr>
      </w:pPr>
      <w:r>
        <w:rPr>
          <w:rFonts w:eastAsia="楷体_GB2312"/>
          <w:color w:val="000000"/>
          <w:szCs w:val="32"/>
        </w:rPr>
        <w:t>（二）思想懈怠，吸取教训不到位</w:t>
      </w:r>
    </w:p>
    <w:p>
      <w:pPr>
        <w:ind w:firstLine="632" w:firstLineChars="200"/>
        <w:rPr>
          <w:color w:val="000000"/>
          <w:szCs w:val="32"/>
        </w:rPr>
      </w:pPr>
      <w:r>
        <w:rPr>
          <w:color w:val="000000"/>
          <w:szCs w:val="32"/>
        </w:rPr>
        <w:t>相关行业监管部门及企业未认真落实省市关于有限工作作业、“三外”项目监管等要求，安全生产工作未做到保持工作不断、力度不减、尺度不松。同时，未认真吸取</w:t>
      </w:r>
      <w:r>
        <w:rPr>
          <w:szCs w:val="32"/>
        </w:rPr>
        <w:t>今年国内其他城市发生的有限空间事故教训</w:t>
      </w:r>
      <w:r>
        <w:rPr>
          <w:color w:val="000000"/>
          <w:szCs w:val="32"/>
        </w:rPr>
        <w:t>，在事故防范上一定程度上存在松懈思想和侥幸心理。</w:t>
      </w:r>
    </w:p>
    <w:p>
      <w:pPr>
        <w:ind w:firstLine="632" w:firstLineChars="200"/>
        <w:rPr>
          <w:rFonts w:eastAsia="楷体_GB2312"/>
          <w:color w:val="000000"/>
          <w:szCs w:val="32"/>
        </w:rPr>
      </w:pPr>
      <w:r>
        <w:rPr>
          <w:rFonts w:eastAsia="楷体_GB2312"/>
          <w:color w:val="000000"/>
          <w:szCs w:val="32"/>
        </w:rPr>
        <w:t>（三）监管缺失，管控措施不到位</w:t>
      </w:r>
    </w:p>
    <w:p>
      <w:pPr>
        <w:ind w:firstLine="632" w:firstLineChars="200"/>
        <w:rPr>
          <w:color w:val="000000"/>
          <w:szCs w:val="32"/>
        </w:rPr>
      </w:pPr>
      <w:r>
        <w:rPr>
          <w:color w:val="000000"/>
          <w:szCs w:val="32"/>
        </w:rPr>
        <w:t>市政公用公司履行安全监管职责不到位，未能督促指导权属子公司排水公司履行安全生产职责，督促、指导排水公司落实安全生产主体责任不力，对排水公司未经公司集体讨论、未依规向上级报告、未按规范程序将工程发包给不具备安全生产条件的淮安朝霆公司等行为失察失管。</w:t>
      </w:r>
      <w:r>
        <w:rPr>
          <w:szCs w:val="32"/>
        </w:rPr>
        <w:t>市、海州区住建部门</w:t>
      </w:r>
      <w:r>
        <w:rPr>
          <w:color w:val="000000"/>
          <w:szCs w:val="32"/>
        </w:rPr>
        <w:t>未严格履行行业监管职责，督促、指导企业落实安全生产主体责任不力，有限空间作业安全监管力度不够，</w:t>
      </w:r>
      <w:r>
        <w:rPr>
          <w:szCs w:val="32"/>
        </w:rPr>
        <w:t>未能及时发现并制止润科集团未履行报批手续擅自组织施工的行为</w:t>
      </w:r>
      <w:r>
        <w:rPr>
          <w:color w:val="000000"/>
          <w:szCs w:val="32"/>
        </w:rPr>
        <w:t>。</w:t>
      </w:r>
    </w:p>
    <w:p>
      <w:pPr>
        <w:ind w:firstLine="632" w:firstLineChars="200"/>
        <w:rPr>
          <w:rFonts w:eastAsia="楷体_GB2312"/>
          <w:color w:val="000000"/>
          <w:szCs w:val="32"/>
        </w:rPr>
      </w:pPr>
      <w:r>
        <w:rPr>
          <w:rFonts w:eastAsia="楷体_GB2312"/>
          <w:color w:val="000000"/>
          <w:szCs w:val="32"/>
        </w:rPr>
        <w:t>（四）违章作业，教育培训不到位</w:t>
      </w:r>
    </w:p>
    <w:p>
      <w:pPr>
        <w:ind w:firstLine="632" w:firstLineChars="200"/>
        <w:rPr>
          <w:color w:val="000000"/>
          <w:szCs w:val="32"/>
        </w:rPr>
      </w:pPr>
      <w:r>
        <w:rPr>
          <w:color w:val="000000"/>
          <w:szCs w:val="32"/>
        </w:rPr>
        <w:t>聂时礼劳务队作业人员均未接受过有限空间作业安全培训，有限空间安全风险认识不足。未按要求配备相关的呼吸器、防毒面罩、检测仪器等应急装备和器材，在未履行有限空间作业审批手续且未通风、未检测、未做好个人防护的情况下，擅自进入事故井内进行作业导致事故发生。同时，1人遇险后，另外2人盲目施救，导致事故后果扩大。</w:t>
      </w:r>
    </w:p>
    <w:p>
      <w:pPr>
        <w:ind w:firstLine="632" w:firstLineChars="200"/>
        <w:rPr>
          <w:rFonts w:eastAsia="楷体_GB2312"/>
          <w:color w:val="000000"/>
          <w:szCs w:val="32"/>
        </w:rPr>
      </w:pPr>
      <w:r>
        <w:rPr>
          <w:rFonts w:eastAsia="楷体_GB2312"/>
          <w:color w:val="000000"/>
          <w:szCs w:val="32"/>
        </w:rPr>
        <w:t>（五）违法发包，安全责任不落实</w:t>
      </w:r>
    </w:p>
    <w:p>
      <w:pPr>
        <w:ind w:firstLine="632" w:firstLineChars="200"/>
        <w:rPr>
          <w:szCs w:val="32"/>
        </w:rPr>
      </w:pPr>
      <w:r>
        <w:rPr>
          <w:szCs w:val="32"/>
        </w:rPr>
        <w:t>排水公司将工程违法分包给不具备安全生产条件的淮安朝霆公司，未与淮安朝霆公司签订安全生产管理协议。安全管理人员对施工现场统一协调、管理不到位，对施工现场巡查力度不够，未能及时发现并排除安全隐患。未执行有限空间作业审批管理制度，未组织施工班组安全教育培训，未组织安全技术交底。</w:t>
      </w:r>
    </w:p>
    <w:p>
      <w:pPr>
        <w:ind w:firstLine="632" w:firstLineChars="200"/>
        <w:rPr>
          <w:rFonts w:eastAsia="黑体"/>
          <w:color w:val="000000"/>
          <w:szCs w:val="32"/>
        </w:rPr>
      </w:pPr>
      <w:r>
        <w:rPr>
          <w:rFonts w:eastAsia="黑体"/>
          <w:color w:val="000000"/>
          <w:szCs w:val="32"/>
        </w:rPr>
        <w:t>七、事故防范措施和建议</w:t>
      </w:r>
    </w:p>
    <w:p>
      <w:pPr>
        <w:ind w:firstLine="632" w:firstLineChars="200"/>
        <w:rPr>
          <w:rFonts w:eastAsia="楷体_GB2312"/>
          <w:szCs w:val="32"/>
        </w:rPr>
      </w:pPr>
      <w:r>
        <w:rPr>
          <w:rFonts w:eastAsia="楷体_GB2312"/>
          <w:szCs w:val="32"/>
        </w:rPr>
        <w:t>（一）深刻吸取教训，做到警钟长鸣</w:t>
      </w:r>
    </w:p>
    <w:p>
      <w:pPr>
        <w:ind w:firstLine="632" w:firstLineChars="200"/>
        <w:rPr>
          <w:szCs w:val="32"/>
        </w:rPr>
      </w:pPr>
      <w:r>
        <w:rPr>
          <w:szCs w:val="32"/>
        </w:rPr>
        <w:t>排水公司、市政公用公司、润科集团要认真贯彻落实习近平总书记关于安全生产方面的重要指示批示精神，切实提高政治站位，强化底线思维，真正把安全生产摆在突出位置，进一步细化压实“三个责任”。要认真剖析本次事故原因，深挖细究问题根源，深入开展警示教育，切实做到以案为鉴、举一反三，切实消除思想认识上的麻痹、风险防范上的短板和日常监管上的盲区，树牢安全红线，筑牢安全防线，守住事故底线。</w:t>
      </w:r>
    </w:p>
    <w:p>
      <w:pPr>
        <w:ind w:firstLine="632" w:firstLineChars="200"/>
        <w:rPr>
          <w:rFonts w:eastAsia="楷体_GB2312"/>
          <w:szCs w:val="32"/>
        </w:rPr>
      </w:pPr>
      <w:r>
        <w:rPr>
          <w:rFonts w:eastAsia="楷体_GB2312"/>
          <w:szCs w:val="32"/>
        </w:rPr>
        <w:t>（二）严格监管执法，彻底整治隐患</w:t>
      </w:r>
    </w:p>
    <w:p>
      <w:pPr>
        <w:ind w:firstLine="632" w:firstLineChars="200"/>
      </w:pPr>
      <w:r>
        <w:rPr>
          <w:szCs w:val="32"/>
        </w:rPr>
        <w:t>市住建局和海州区住建局</w:t>
      </w:r>
      <w:r>
        <w:t>要持续加大执法力度，杜绝执法处罚“宽松软”，严厉查处冒险野蛮作业、不顾安全抢工期作业等各类违法违规行为，严格落实“四个一律”执法措施，切实强化执法的惩戒和震慑作用。对存在“未落实作业审批制度，擅自进入有限空间作业”“未对有限空间作业场所进行辨识，并设置明显安全警示标志”等重大事故隐患的，要严格依法实施处罚，公开曝光违法企业和违法人员，加大行刑衔接力度，进一步提高企业违法成本。</w:t>
      </w:r>
    </w:p>
    <w:p>
      <w:pPr>
        <w:ind w:firstLine="632" w:firstLineChars="200"/>
        <w:rPr>
          <w:rFonts w:eastAsia="楷体_GB2312"/>
          <w:szCs w:val="32"/>
        </w:rPr>
      </w:pPr>
      <w:r>
        <w:rPr>
          <w:rFonts w:eastAsia="楷体_GB2312"/>
          <w:szCs w:val="32"/>
        </w:rPr>
        <w:t>（三）强化风险管控，落实企业责任</w:t>
      </w:r>
    </w:p>
    <w:p>
      <w:pPr>
        <w:ind w:firstLine="632" w:firstLineChars="200"/>
        <w:rPr>
          <w:szCs w:val="32"/>
        </w:rPr>
      </w:pPr>
      <w:r>
        <w:rPr>
          <w:szCs w:val="32"/>
        </w:rPr>
        <w:t>排水公司、市政公用公司、润科集团要严格落实企业主体责任，按照《安全生产法》和《有限空间作业安全指导手册》等有关规定，要严格项目发包管理，不得将生产经营项目、场所、设备发包或者出租给不具备安全生产条件或者相应资质的单位或者个人。要建立健全安全生产责任制，明确各部门安全管理职责和范围，强化施工作业现场安全管理，要将承包单位的安全生产工作统一协调、管理，严禁以包代管，定期进行安全检查，发现安全问题的，应当及时督促整改。要加大风险辨识管控和隐患排查治理力度，坚决避免各类事故的发生。</w:t>
      </w:r>
    </w:p>
    <w:p>
      <w:pPr>
        <w:ind w:firstLine="632" w:firstLineChars="200"/>
        <w:rPr>
          <w:rFonts w:eastAsia="楷体_GB2312"/>
          <w:szCs w:val="32"/>
        </w:rPr>
      </w:pPr>
      <w:r>
        <w:rPr>
          <w:rFonts w:eastAsia="楷体_GB2312"/>
          <w:szCs w:val="32"/>
        </w:rPr>
        <w:t>（四）强化教育培训，提升安全水平</w:t>
      </w:r>
    </w:p>
    <w:p>
      <w:pPr>
        <w:ind w:firstLine="632" w:firstLineChars="200"/>
        <w:rPr>
          <w:szCs w:val="32"/>
        </w:rPr>
      </w:pPr>
      <w:r>
        <w:rPr>
          <w:szCs w:val="32"/>
        </w:rPr>
        <w:t>排水公司要加大有限空间作业安全培训力度，广泛开展有限空间作业安全专题培训，使安全管理人员和从业人员清楚有限空间作业风险辨识、作业规程和应急处置要求，确保有限空间作业点警示标识与风险告知齐全，作业程序、危险因素和防范要求明确，监护人员与防护用具齐全。通过微信、网站、报纸、电视等各种媒体，开展事故警示教育，加大宣传工作力度和效果，普及有限空间等危险作业安全常识和科学施救知识，用惨痛事故后果警示从业人员提高安全意识。</w:t>
      </w:r>
    </w:p>
    <w:p>
      <w:pPr>
        <w:ind w:firstLine="632" w:firstLineChars="200"/>
        <w:rPr>
          <w:szCs w:val="32"/>
        </w:rPr>
      </w:pPr>
    </w:p>
    <w:p>
      <w:pPr>
        <w:ind w:firstLine="632" w:firstLineChars="200"/>
        <w:rPr>
          <w:szCs w:val="32"/>
        </w:rPr>
      </w:pPr>
    </w:p>
    <w:p>
      <w:pPr>
        <w:ind w:firstLine="3783" w:firstLineChars="1197"/>
        <w:rPr>
          <w:kern w:val="0"/>
          <w:szCs w:val="32"/>
        </w:rPr>
      </w:pPr>
      <w:r>
        <w:rPr>
          <w:kern w:val="0"/>
          <w:szCs w:val="32"/>
        </w:rPr>
        <w:t>市政府海州区“4•9”一般中毒和窒息</w:t>
      </w:r>
    </w:p>
    <w:p>
      <w:pPr>
        <w:ind w:firstLine="5372" w:firstLineChars="1700"/>
        <w:rPr>
          <w:szCs w:val="32"/>
        </w:rPr>
      </w:pPr>
      <w:r>
        <w:rPr>
          <w:kern w:val="0"/>
          <w:szCs w:val="32"/>
        </w:rPr>
        <w:t>事故调查组</w:t>
      </w:r>
    </w:p>
    <w:p>
      <w:pPr>
        <w:ind w:firstLine="5056" w:firstLineChars="1600"/>
        <w:rPr>
          <w:szCs w:val="32"/>
        </w:rPr>
      </w:pPr>
      <w:r>
        <w:rPr>
          <w:szCs w:val="32"/>
        </w:rPr>
        <w:t>2022年7月4日</w:t>
      </w:r>
    </w:p>
    <w:sectPr>
      <w:headerReference r:id="rId5" w:type="default"/>
      <w:footerReference r:id="rId7" w:type="default"/>
      <w:headerReference r:id="rId6" w:type="even"/>
      <w:footerReference r:id="rId8" w:type="even"/>
      <w:pgSz w:w="11906" w:h="16838"/>
      <w:pgMar w:top="2098" w:right="1474" w:bottom="1985" w:left="1588" w:header="851" w:footer="1588" w:gutter="0"/>
      <w:pgNumType w:fmt="numberInDash"/>
      <w:cols w:space="720" w:num="1"/>
      <w:docGrid w:type="linesAndChars" w:linePitch="579" w:charSpace="-8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Arial">
    <w:panose1 w:val="020B0604020202020204"/>
    <w:charset w:val="00"/>
    <w:family w:val="swiss"/>
    <w:pitch w:val="default"/>
    <w:sig w:usb0="E0002AFF" w:usb1="C0007843" w:usb2="00000009" w:usb3="00000000" w:csb0="400001FF" w:csb1="FFFF0000"/>
  </w:font>
  <w:font w:name="楷体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溘冼_GB2312">
    <w:altName w:val="MingLiU-ExtB"/>
    <w:panose1 w:val="00000000000000000000"/>
    <w:charset w:val="88"/>
    <w:family w:val="modern"/>
    <w:pitch w:val="default"/>
    <w:sig w:usb0="00000000" w:usb1="00000000" w:usb2="00000010" w:usb3="00000000" w:csb0="00100000" w:csb1="00000000"/>
  </w:font>
  <w:font w:name="MingLiU-ExtB">
    <w:panose1 w:val="02020500000000000000"/>
    <w:charset w:val="88"/>
    <w:family w:val="auto"/>
    <w:pitch w:val="default"/>
    <w:sig w:usb0="8000002F" w:usb1="02000008" w:usb2="00000000" w:usb3="00000000" w:csb0="00100001" w:csb1="00000000"/>
  </w:font>
  <w:font w:name="冼极">
    <w:altName w:val="MingLiU-ExtB"/>
    <w:panose1 w:val="00000000000000000000"/>
    <w:charset w:val="88"/>
    <w:family w:val="roman"/>
    <w:pitch w:val="default"/>
    <w:sig w:usb0="00000000" w:usb1="00000000" w:usb2="00000010" w:usb3="00000000" w:csb0="00100000" w:csb1="00000000"/>
  </w:font>
  <w:font w:name="方正楷体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方正黑体_GBK">
    <w:altName w:val="微软雅黑"/>
    <w:panose1 w:val="03000509000000000000"/>
    <w:charset w:val="86"/>
    <w:family w:val="script"/>
    <w:pitch w:val="default"/>
    <w:sig w:usb0="00000000" w:usb1="00000000" w:usb2="0000001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方正小标宋简体">
    <w:panose1 w:val="03000509000000000000"/>
    <w:charset w:val="86"/>
    <w:family w:val="script"/>
    <w:pitch w:val="default"/>
    <w:sig w:usb0="00000001" w:usb1="080E0000" w:usb2="00000000" w:usb3="00000000" w:csb0="00040000" w:csb1="00000000"/>
  </w:font>
  <w:font w:name="Batang">
    <w:panose1 w:val="02030600000101010101"/>
    <w:charset w:val="81"/>
    <w:family w:val="roman"/>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36384504"/>
      <w:docPartObj>
        <w:docPartGallery w:val="AutoText"/>
      </w:docPartObj>
    </w:sdtPr>
    <w:sdtEndPr>
      <w:rPr>
        <w:rFonts w:ascii="Batang" w:hAnsi="Batang" w:eastAsia="Batang"/>
        <w:sz w:val="28"/>
        <w:szCs w:val="28"/>
      </w:rPr>
    </w:sdtEndPr>
    <w:sdtContent>
      <w:p>
        <w:pPr>
          <w:pStyle w:val="9"/>
          <w:jc w:val="right"/>
        </w:pPr>
        <w:r>
          <w:rPr>
            <w:rFonts w:ascii="Batang" w:hAnsi="Batang" w:eastAsia="Batang"/>
            <w:sz w:val="28"/>
            <w:szCs w:val="28"/>
          </w:rPr>
          <w:fldChar w:fldCharType="begin"/>
        </w:r>
        <w:r>
          <w:rPr>
            <w:rFonts w:ascii="Batang" w:hAnsi="Batang" w:eastAsia="Batang"/>
            <w:sz w:val="28"/>
            <w:szCs w:val="28"/>
          </w:rPr>
          <w:instrText xml:space="preserve"> PAGE   \* MERGEFORMAT </w:instrText>
        </w:r>
        <w:r>
          <w:rPr>
            <w:rFonts w:ascii="Batang" w:hAnsi="Batang" w:eastAsia="Batang"/>
            <w:sz w:val="28"/>
            <w:szCs w:val="28"/>
          </w:rPr>
          <w:fldChar w:fldCharType="separate"/>
        </w:r>
        <w:r>
          <w:rPr>
            <w:rFonts w:ascii="Batang" w:hAnsi="Batang" w:eastAsia="Batang"/>
            <w:sz w:val="28"/>
            <w:szCs w:val="28"/>
          </w:rPr>
          <w:t>- 21 -</w:t>
        </w:r>
        <w:r>
          <w:rPr>
            <w:rFonts w:ascii="Batang" w:hAnsi="Batang" w:eastAsia="Batang"/>
            <w:sz w:val="28"/>
            <w:szCs w:val="2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36384526"/>
      <w:docPartObj>
        <w:docPartGallery w:val="AutoText"/>
      </w:docPartObj>
    </w:sdtPr>
    <w:sdtEndPr>
      <w:rPr>
        <w:rFonts w:ascii="Batang" w:hAnsi="Batang" w:eastAsia="Batang"/>
        <w:sz w:val="28"/>
        <w:szCs w:val="28"/>
      </w:rPr>
    </w:sdtEndPr>
    <w:sdtContent>
      <w:p>
        <w:pPr>
          <w:pStyle w:val="9"/>
          <w:ind w:firstLine="0"/>
        </w:pPr>
        <w:r>
          <w:rPr>
            <w:rFonts w:ascii="Batang" w:hAnsi="Batang" w:eastAsia="Batang"/>
            <w:sz w:val="28"/>
            <w:szCs w:val="28"/>
          </w:rPr>
          <w:fldChar w:fldCharType="begin"/>
        </w:r>
        <w:r>
          <w:rPr>
            <w:rFonts w:ascii="Batang" w:hAnsi="Batang" w:eastAsia="Batang"/>
            <w:sz w:val="28"/>
            <w:szCs w:val="28"/>
          </w:rPr>
          <w:instrText xml:space="preserve"> PAGE   \* MERGEFORMAT </w:instrText>
        </w:r>
        <w:r>
          <w:rPr>
            <w:rFonts w:ascii="Batang" w:hAnsi="Batang" w:eastAsia="Batang"/>
            <w:sz w:val="28"/>
            <w:szCs w:val="28"/>
          </w:rPr>
          <w:fldChar w:fldCharType="separate"/>
        </w:r>
        <w:r>
          <w:rPr>
            <w:rFonts w:ascii="Batang" w:hAnsi="Batang" w:eastAsia="Batang"/>
            <w:sz w:val="28"/>
            <w:szCs w:val="28"/>
            <w:lang w:val="zh-CN"/>
          </w:rPr>
          <w:t>-</w:t>
        </w:r>
        <w:r>
          <w:rPr>
            <w:rFonts w:ascii="Batang" w:hAnsi="Batang" w:eastAsia="Batang"/>
            <w:sz w:val="28"/>
            <w:szCs w:val="28"/>
          </w:rPr>
          <w:t xml:space="preserve"> 22 -</w:t>
        </w:r>
        <w:r>
          <w:rPr>
            <w:rFonts w:ascii="Batang" w:hAnsi="Batang" w:eastAsia="Batang"/>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attachedTemplate r:id="rId1"/>
  <w:documentProtection w:enforcement="0"/>
  <w:defaultTabStop w:val="425"/>
  <w:evenAndOddHeaders w:val="1"/>
  <w:drawingGridHorizontalSpacing w:val="158"/>
  <w:drawingGridVerticalSpacing w:val="579"/>
  <w:displayHorizontalDrawingGridEvery w:val="0"/>
  <w:characterSpacingControl w:val="compressPunctuation"/>
  <w:noLineBreaksAfter w:lang="zh-CN" w:val="$([{£¥·‘“〈《「『【〔〖〝﹙﹛﹝＄（．［｛￡￥"/>
  <w:noLineBreaksBefore w:lang="zh-CN" w:val="!%),.:;&gt;?]}¢¨°·ˇˉ―‖’”…‰′″›℃∶、。〃〉》」』】〕〗〞︶︺︾﹀﹄﹚﹜﹞！＂％＇），．：；？］｀｜｝～￠"/>
  <w:doNotValidateAgainstSchema/>
  <w:doNotDemarcateInvalidXml/>
  <w:footnotePr>
    <w:footnote w:id="0"/>
    <w:footnote w:id="1"/>
  </w:footnotePr>
  <w:endnotePr>
    <w:endnote w:id="0"/>
    <w:endnote w:id="1"/>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7EA9"/>
    <w:rsid w:val="00002AFB"/>
    <w:rsid w:val="00003A31"/>
    <w:rsid w:val="00003BE7"/>
    <w:rsid w:val="000050BC"/>
    <w:rsid w:val="00005800"/>
    <w:rsid w:val="00007C2D"/>
    <w:rsid w:val="000110F7"/>
    <w:rsid w:val="00011344"/>
    <w:rsid w:val="00012B5F"/>
    <w:rsid w:val="00014DF9"/>
    <w:rsid w:val="00016C89"/>
    <w:rsid w:val="0002060E"/>
    <w:rsid w:val="00020AEF"/>
    <w:rsid w:val="000215ED"/>
    <w:rsid w:val="00021A5D"/>
    <w:rsid w:val="00022189"/>
    <w:rsid w:val="000249D4"/>
    <w:rsid w:val="00024ADE"/>
    <w:rsid w:val="000254A6"/>
    <w:rsid w:val="000258A5"/>
    <w:rsid w:val="00025E7D"/>
    <w:rsid w:val="000267B8"/>
    <w:rsid w:val="00031411"/>
    <w:rsid w:val="00031F82"/>
    <w:rsid w:val="0003335D"/>
    <w:rsid w:val="000335AA"/>
    <w:rsid w:val="00037C5D"/>
    <w:rsid w:val="00043CFE"/>
    <w:rsid w:val="00044941"/>
    <w:rsid w:val="0004538E"/>
    <w:rsid w:val="00045837"/>
    <w:rsid w:val="00051902"/>
    <w:rsid w:val="000519DB"/>
    <w:rsid w:val="00051D49"/>
    <w:rsid w:val="00052441"/>
    <w:rsid w:val="0005247B"/>
    <w:rsid w:val="00054379"/>
    <w:rsid w:val="00055392"/>
    <w:rsid w:val="00055779"/>
    <w:rsid w:val="000570C3"/>
    <w:rsid w:val="0005774B"/>
    <w:rsid w:val="00061211"/>
    <w:rsid w:val="00062DD8"/>
    <w:rsid w:val="000644CD"/>
    <w:rsid w:val="00065051"/>
    <w:rsid w:val="000671D7"/>
    <w:rsid w:val="00070DF8"/>
    <w:rsid w:val="000723F4"/>
    <w:rsid w:val="00074359"/>
    <w:rsid w:val="000745F1"/>
    <w:rsid w:val="0007471E"/>
    <w:rsid w:val="00074973"/>
    <w:rsid w:val="00074A0E"/>
    <w:rsid w:val="0007515D"/>
    <w:rsid w:val="00075F30"/>
    <w:rsid w:val="00076686"/>
    <w:rsid w:val="00077074"/>
    <w:rsid w:val="00077142"/>
    <w:rsid w:val="00080304"/>
    <w:rsid w:val="00080898"/>
    <w:rsid w:val="000816AE"/>
    <w:rsid w:val="00081743"/>
    <w:rsid w:val="00081F13"/>
    <w:rsid w:val="0008204A"/>
    <w:rsid w:val="00083D7D"/>
    <w:rsid w:val="00083D93"/>
    <w:rsid w:val="00083F5D"/>
    <w:rsid w:val="00084CA0"/>
    <w:rsid w:val="00084E5D"/>
    <w:rsid w:val="00085B34"/>
    <w:rsid w:val="00090C19"/>
    <w:rsid w:val="000941B5"/>
    <w:rsid w:val="000950D9"/>
    <w:rsid w:val="0009525B"/>
    <w:rsid w:val="0009556A"/>
    <w:rsid w:val="000A068C"/>
    <w:rsid w:val="000A2D9E"/>
    <w:rsid w:val="000A2F9D"/>
    <w:rsid w:val="000A5889"/>
    <w:rsid w:val="000A7743"/>
    <w:rsid w:val="000A787A"/>
    <w:rsid w:val="000B1189"/>
    <w:rsid w:val="000B5910"/>
    <w:rsid w:val="000B7ACD"/>
    <w:rsid w:val="000C1EEF"/>
    <w:rsid w:val="000C2DBB"/>
    <w:rsid w:val="000C2DC2"/>
    <w:rsid w:val="000C473B"/>
    <w:rsid w:val="000C560F"/>
    <w:rsid w:val="000C5939"/>
    <w:rsid w:val="000C5D44"/>
    <w:rsid w:val="000C7943"/>
    <w:rsid w:val="000D28BB"/>
    <w:rsid w:val="000D4682"/>
    <w:rsid w:val="000D48F7"/>
    <w:rsid w:val="000D5A9C"/>
    <w:rsid w:val="000D6682"/>
    <w:rsid w:val="000E0F96"/>
    <w:rsid w:val="000E1E23"/>
    <w:rsid w:val="000E263D"/>
    <w:rsid w:val="000E4A35"/>
    <w:rsid w:val="000E66C6"/>
    <w:rsid w:val="000E7329"/>
    <w:rsid w:val="000F09B8"/>
    <w:rsid w:val="000F1958"/>
    <w:rsid w:val="000F2E3D"/>
    <w:rsid w:val="000F3D94"/>
    <w:rsid w:val="000F448C"/>
    <w:rsid w:val="000F4DB3"/>
    <w:rsid w:val="000F6D21"/>
    <w:rsid w:val="0010186D"/>
    <w:rsid w:val="001024BC"/>
    <w:rsid w:val="00102CF8"/>
    <w:rsid w:val="001041F1"/>
    <w:rsid w:val="00105676"/>
    <w:rsid w:val="001059CC"/>
    <w:rsid w:val="00105B09"/>
    <w:rsid w:val="00106113"/>
    <w:rsid w:val="00107679"/>
    <w:rsid w:val="001105C3"/>
    <w:rsid w:val="0011085B"/>
    <w:rsid w:val="00111E66"/>
    <w:rsid w:val="00115735"/>
    <w:rsid w:val="0011720F"/>
    <w:rsid w:val="00121F7A"/>
    <w:rsid w:val="00123D4E"/>
    <w:rsid w:val="00127124"/>
    <w:rsid w:val="001305EF"/>
    <w:rsid w:val="00130CEA"/>
    <w:rsid w:val="00132EB5"/>
    <w:rsid w:val="001342F7"/>
    <w:rsid w:val="00135187"/>
    <w:rsid w:val="00135B5C"/>
    <w:rsid w:val="00136977"/>
    <w:rsid w:val="00143B69"/>
    <w:rsid w:val="001454A2"/>
    <w:rsid w:val="00145A51"/>
    <w:rsid w:val="001460F5"/>
    <w:rsid w:val="001507D5"/>
    <w:rsid w:val="00152D5A"/>
    <w:rsid w:val="00153DBF"/>
    <w:rsid w:val="0016074C"/>
    <w:rsid w:val="001613AF"/>
    <w:rsid w:val="00161F38"/>
    <w:rsid w:val="00164208"/>
    <w:rsid w:val="00164295"/>
    <w:rsid w:val="00165040"/>
    <w:rsid w:val="00165E06"/>
    <w:rsid w:val="00170630"/>
    <w:rsid w:val="0017076E"/>
    <w:rsid w:val="00172876"/>
    <w:rsid w:val="00176EB8"/>
    <w:rsid w:val="001773CF"/>
    <w:rsid w:val="00177676"/>
    <w:rsid w:val="00177F79"/>
    <w:rsid w:val="00180A07"/>
    <w:rsid w:val="00182644"/>
    <w:rsid w:val="00183B56"/>
    <w:rsid w:val="001862B4"/>
    <w:rsid w:val="00187CDF"/>
    <w:rsid w:val="0019235D"/>
    <w:rsid w:val="00193C04"/>
    <w:rsid w:val="001957BF"/>
    <w:rsid w:val="0019585A"/>
    <w:rsid w:val="00196AAE"/>
    <w:rsid w:val="00197AFF"/>
    <w:rsid w:val="001A4AA7"/>
    <w:rsid w:val="001A5601"/>
    <w:rsid w:val="001A5E4E"/>
    <w:rsid w:val="001A6E5B"/>
    <w:rsid w:val="001B0130"/>
    <w:rsid w:val="001B3047"/>
    <w:rsid w:val="001B327E"/>
    <w:rsid w:val="001B35B5"/>
    <w:rsid w:val="001B45A5"/>
    <w:rsid w:val="001B578D"/>
    <w:rsid w:val="001B59FC"/>
    <w:rsid w:val="001B69D1"/>
    <w:rsid w:val="001C12AF"/>
    <w:rsid w:val="001C1531"/>
    <w:rsid w:val="001C3DB4"/>
    <w:rsid w:val="001C53CE"/>
    <w:rsid w:val="001C588C"/>
    <w:rsid w:val="001C5C05"/>
    <w:rsid w:val="001C5FD1"/>
    <w:rsid w:val="001C6588"/>
    <w:rsid w:val="001C688B"/>
    <w:rsid w:val="001C7C5E"/>
    <w:rsid w:val="001D22E1"/>
    <w:rsid w:val="001D2699"/>
    <w:rsid w:val="001D6098"/>
    <w:rsid w:val="001D706A"/>
    <w:rsid w:val="001D7B36"/>
    <w:rsid w:val="001E0F8D"/>
    <w:rsid w:val="001E3D2A"/>
    <w:rsid w:val="001E4BFB"/>
    <w:rsid w:val="001E6338"/>
    <w:rsid w:val="001E63DA"/>
    <w:rsid w:val="001F016A"/>
    <w:rsid w:val="001F1967"/>
    <w:rsid w:val="001F1CB3"/>
    <w:rsid w:val="001F313D"/>
    <w:rsid w:val="001F4213"/>
    <w:rsid w:val="001F4981"/>
    <w:rsid w:val="001F4C08"/>
    <w:rsid w:val="001F4E89"/>
    <w:rsid w:val="001F50CD"/>
    <w:rsid w:val="001F56E8"/>
    <w:rsid w:val="001F78CD"/>
    <w:rsid w:val="0020149B"/>
    <w:rsid w:val="00204E59"/>
    <w:rsid w:val="0020653D"/>
    <w:rsid w:val="00207EA9"/>
    <w:rsid w:val="002103D1"/>
    <w:rsid w:val="00212E7E"/>
    <w:rsid w:val="00213B99"/>
    <w:rsid w:val="0021405D"/>
    <w:rsid w:val="0021481E"/>
    <w:rsid w:val="00225A5F"/>
    <w:rsid w:val="00225C83"/>
    <w:rsid w:val="00226455"/>
    <w:rsid w:val="00230D9E"/>
    <w:rsid w:val="00230F31"/>
    <w:rsid w:val="00231C8C"/>
    <w:rsid w:val="0023322C"/>
    <w:rsid w:val="002361FA"/>
    <w:rsid w:val="002369F6"/>
    <w:rsid w:val="00240B57"/>
    <w:rsid w:val="00241473"/>
    <w:rsid w:val="00241483"/>
    <w:rsid w:val="00241CC5"/>
    <w:rsid w:val="0024370E"/>
    <w:rsid w:val="002440E7"/>
    <w:rsid w:val="002445E5"/>
    <w:rsid w:val="0024498F"/>
    <w:rsid w:val="0024769D"/>
    <w:rsid w:val="0025021C"/>
    <w:rsid w:val="00250D0B"/>
    <w:rsid w:val="00251907"/>
    <w:rsid w:val="0025505B"/>
    <w:rsid w:val="00255BDF"/>
    <w:rsid w:val="00255E36"/>
    <w:rsid w:val="002562CC"/>
    <w:rsid w:val="00257D0B"/>
    <w:rsid w:val="00261008"/>
    <w:rsid w:val="002617F8"/>
    <w:rsid w:val="00262A9A"/>
    <w:rsid w:val="00262E1D"/>
    <w:rsid w:val="002633F1"/>
    <w:rsid w:val="00263F62"/>
    <w:rsid w:val="00265825"/>
    <w:rsid w:val="0026636F"/>
    <w:rsid w:val="00266742"/>
    <w:rsid w:val="00273659"/>
    <w:rsid w:val="00273E09"/>
    <w:rsid w:val="002755A4"/>
    <w:rsid w:val="00277762"/>
    <w:rsid w:val="002806C5"/>
    <w:rsid w:val="00285042"/>
    <w:rsid w:val="00285B08"/>
    <w:rsid w:val="002861D4"/>
    <w:rsid w:val="00286B83"/>
    <w:rsid w:val="002872DC"/>
    <w:rsid w:val="00287707"/>
    <w:rsid w:val="00293327"/>
    <w:rsid w:val="00294C05"/>
    <w:rsid w:val="00295531"/>
    <w:rsid w:val="002960BC"/>
    <w:rsid w:val="00296270"/>
    <w:rsid w:val="00297346"/>
    <w:rsid w:val="002A2A07"/>
    <w:rsid w:val="002A3CEA"/>
    <w:rsid w:val="002A4A45"/>
    <w:rsid w:val="002A54E1"/>
    <w:rsid w:val="002A6EF1"/>
    <w:rsid w:val="002A75DC"/>
    <w:rsid w:val="002B045A"/>
    <w:rsid w:val="002B0A0B"/>
    <w:rsid w:val="002B3059"/>
    <w:rsid w:val="002B3203"/>
    <w:rsid w:val="002B3316"/>
    <w:rsid w:val="002B4080"/>
    <w:rsid w:val="002B40AA"/>
    <w:rsid w:val="002B7023"/>
    <w:rsid w:val="002C1406"/>
    <w:rsid w:val="002C20D2"/>
    <w:rsid w:val="002C355F"/>
    <w:rsid w:val="002C479E"/>
    <w:rsid w:val="002C4E14"/>
    <w:rsid w:val="002C4E60"/>
    <w:rsid w:val="002C5A89"/>
    <w:rsid w:val="002C629A"/>
    <w:rsid w:val="002C74BB"/>
    <w:rsid w:val="002D0217"/>
    <w:rsid w:val="002D03AA"/>
    <w:rsid w:val="002D3788"/>
    <w:rsid w:val="002D4C57"/>
    <w:rsid w:val="002D4F78"/>
    <w:rsid w:val="002D5EB2"/>
    <w:rsid w:val="002D6E80"/>
    <w:rsid w:val="002D7374"/>
    <w:rsid w:val="002D7A1B"/>
    <w:rsid w:val="002D7E9F"/>
    <w:rsid w:val="002E0B2B"/>
    <w:rsid w:val="002E221B"/>
    <w:rsid w:val="002E3EB9"/>
    <w:rsid w:val="002E408A"/>
    <w:rsid w:val="002E4FDB"/>
    <w:rsid w:val="002F017C"/>
    <w:rsid w:val="002F0D55"/>
    <w:rsid w:val="002F1062"/>
    <w:rsid w:val="002F38F9"/>
    <w:rsid w:val="002F4298"/>
    <w:rsid w:val="002F6248"/>
    <w:rsid w:val="002F66E0"/>
    <w:rsid w:val="00301526"/>
    <w:rsid w:val="00301973"/>
    <w:rsid w:val="0030281B"/>
    <w:rsid w:val="00303A8C"/>
    <w:rsid w:val="00303C41"/>
    <w:rsid w:val="003069D0"/>
    <w:rsid w:val="00307015"/>
    <w:rsid w:val="00311924"/>
    <w:rsid w:val="00312533"/>
    <w:rsid w:val="00312FC5"/>
    <w:rsid w:val="003133A7"/>
    <w:rsid w:val="00314268"/>
    <w:rsid w:val="00314F3F"/>
    <w:rsid w:val="00315403"/>
    <w:rsid w:val="003163D3"/>
    <w:rsid w:val="003174C3"/>
    <w:rsid w:val="00320261"/>
    <w:rsid w:val="0032175B"/>
    <w:rsid w:val="00321ACC"/>
    <w:rsid w:val="00322017"/>
    <w:rsid w:val="003222A0"/>
    <w:rsid w:val="00322C0D"/>
    <w:rsid w:val="00323F5E"/>
    <w:rsid w:val="003311DA"/>
    <w:rsid w:val="00331A1C"/>
    <w:rsid w:val="00333ACD"/>
    <w:rsid w:val="00333DE3"/>
    <w:rsid w:val="00334ACF"/>
    <w:rsid w:val="00334EC6"/>
    <w:rsid w:val="00335528"/>
    <w:rsid w:val="00337AB8"/>
    <w:rsid w:val="003423EA"/>
    <w:rsid w:val="00343F68"/>
    <w:rsid w:val="0034588F"/>
    <w:rsid w:val="00347770"/>
    <w:rsid w:val="0034795B"/>
    <w:rsid w:val="00350FA8"/>
    <w:rsid w:val="00350FE9"/>
    <w:rsid w:val="00352141"/>
    <w:rsid w:val="00352220"/>
    <w:rsid w:val="00352AF2"/>
    <w:rsid w:val="003550C7"/>
    <w:rsid w:val="00357793"/>
    <w:rsid w:val="00357CC1"/>
    <w:rsid w:val="00360BC4"/>
    <w:rsid w:val="00360F17"/>
    <w:rsid w:val="00363136"/>
    <w:rsid w:val="0036335B"/>
    <w:rsid w:val="0036406B"/>
    <w:rsid w:val="003647F5"/>
    <w:rsid w:val="003648E9"/>
    <w:rsid w:val="00371464"/>
    <w:rsid w:val="00371D9D"/>
    <w:rsid w:val="003729A6"/>
    <w:rsid w:val="00373D3F"/>
    <w:rsid w:val="00373E04"/>
    <w:rsid w:val="00374DA1"/>
    <w:rsid w:val="0037575C"/>
    <w:rsid w:val="0037632A"/>
    <w:rsid w:val="00376617"/>
    <w:rsid w:val="00390B93"/>
    <w:rsid w:val="00391F02"/>
    <w:rsid w:val="0039227F"/>
    <w:rsid w:val="00392612"/>
    <w:rsid w:val="0039351D"/>
    <w:rsid w:val="00396D70"/>
    <w:rsid w:val="00396FE6"/>
    <w:rsid w:val="00397A96"/>
    <w:rsid w:val="00397E04"/>
    <w:rsid w:val="003A01E3"/>
    <w:rsid w:val="003A1B7C"/>
    <w:rsid w:val="003A2206"/>
    <w:rsid w:val="003A32A8"/>
    <w:rsid w:val="003A3D05"/>
    <w:rsid w:val="003A4276"/>
    <w:rsid w:val="003A4567"/>
    <w:rsid w:val="003A6885"/>
    <w:rsid w:val="003A7129"/>
    <w:rsid w:val="003B0592"/>
    <w:rsid w:val="003B2212"/>
    <w:rsid w:val="003B23BB"/>
    <w:rsid w:val="003B277D"/>
    <w:rsid w:val="003B284C"/>
    <w:rsid w:val="003B3530"/>
    <w:rsid w:val="003B4904"/>
    <w:rsid w:val="003B4931"/>
    <w:rsid w:val="003B5CCD"/>
    <w:rsid w:val="003B5D0E"/>
    <w:rsid w:val="003B7257"/>
    <w:rsid w:val="003C24FD"/>
    <w:rsid w:val="003C3C6D"/>
    <w:rsid w:val="003C423B"/>
    <w:rsid w:val="003C4994"/>
    <w:rsid w:val="003C701E"/>
    <w:rsid w:val="003C72DC"/>
    <w:rsid w:val="003D1A00"/>
    <w:rsid w:val="003D2E6B"/>
    <w:rsid w:val="003D395B"/>
    <w:rsid w:val="003D5DD9"/>
    <w:rsid w:val="003D7932"/>
    <w:rsid w:val="003D7E2B"/>
    <w:rsid w:val="003E0EBF"/>
    <w:rsid w:val="003E341F"/>
    <w:rsid w:val="003E5D77"/>
    <w:rsid w:val="003E6180"/>
    <w:rsid w:val="003E65A3"/>
    <w:rsid w:val="003E7C36"/>
    <w:rsid w:val="003F04BC"/>
    <w:rsid w:val="003F209E"/>
    <w:rsid w:val="003F3AD5"/>
    <w:rsid w:val="003F7BA9"/>
    <w:rsid w:val="004021CF"/>
    <w:rsid w:val="00405390"/>
    <w:rsid w:val="00406470"/>
    <w:rsid w:val="00406806"/>
    <w:rsid w:val="00407166"/>
    <w:rsid w:val="0041179F"/>
    <w:rsid w:val="00411A4E"/>
    <w:rsid w:val="0041288F"/>
    <w:rsid w:val="0041366C"/>
    <w:rsid w:val="004138F6"/>
    <w:rsid w:val="00413935"/>
    <w:rsid w:val="004139D7"/>
    <w:rsid w:val="0041430A"/>
    <w:rsid w:val="004152C5"/>
    <w:rsid w:val="0042043D"/>
    <w:rsid w:val="004211DE"/>
    <w:rsid w:val="00423777"/>
    <w:rsid w:val="00423B13"/>
    <w:rsid w:val="0042413E"/>
    <w:rsid w:val="00426415"/>
    <w:rsid w:val="00432271"/>
    <w:rsid w:val="004335BA"/>
    <w:rsid w:val="00433AE7"/>
    <w:rsid w:val="0043444B"/>
    <w:rsid w:val="00437F35"/>
    <w:rsid w:val="00440A90"/>
    <w:rsid w:val="00441CE2"/>
    <w:rsid w:val="00442C0E"/>
    <w:rsid w:val="0044496E"/>
    <w:rsid w:val="00446168"/>
    <w:rsid w:val="00446527"/>
    <w:rsid w:val="00446543"/>
    <w:rsid w:val="004465E9"/>
    <w:rsid w:val="00450BA0"/>
    <w:rsid w:val="00451273"/>
    <w:rsid w:val="004519BD"/>
    <w:rsid w:val="00453AE0"/>
    <w:rsid w:val="00454BBE"/>
    <w:rsid w:val="0045625B"/>
    <w:rsid w:val="00456B74"/>
    <w:rsid w:val="00457E83"/>
    <w:rsid w:val="004615C2"/>
    <w:rsid w:val="00462A47"/>
    <w:rsid w:val="004631BC"/>
    <w:rsid w:val="00463981"/>
    <w:rsid w:val="00464D17"/>
    <w:rsid w:val="004671AA"/>
    <w:rsid w:val="00472262"/>
    <w:rsid w:val="004725C9"/>
    <w:rsid w:val="004732F2"/>
    <w:rsid w:val="00473384"/>
    <w:rsid w:val="004744ED"/>
    <w:rsid w:val="00474646"/>
    <w:rsid w:val="00474B2E"/>
    <w:rsid w:val="00476CD2"/>
    <w:rsid w:val="00476D1E"/>
    <w:rsid w:val="004772FD"/>
    <w:rsid w:val="00482F7E"/>
    <w:rsid w:val="00483E19"/>
    <w:rsid w:val="00485398"/>
    <w:rsid w:val="0048563A"/>
    <w:rsid w:val="00486960"/>
    <w:rsid w:val="00490092"/>
    <w:rsid w:val="00491742"/>
    <w:rsid w:val="00492003"/>
    <w:rsid w:val="00492160"/>
    <w:rsid w:val="00494243"/>
    <w:rsid w:val="00494A5F"/>
    <w:rsid w:val="004965AC"/>
    <w:rsid w:val="004A0BC2"/>
    <w:rsid w:val="004A0F61"/>
    <w:rsid w:val="004A13D4"/>
    <w:rsid w:val="004A20E7"/>
    <w:rsid w:val="004A3A53"/>
    <w:rsid w:val="004A44A5"/>
    <w:rsid w:val="004A4B7B"/>
    <w:rsid w:val="004A5356"/>
    <w:rsid w:val="004B195C"/>
    <w:rsid w:val="004B1D6A"/>
    <w:rsid w:val="004B2506"/>
    <w:rsid w:val="004B2F56"/>
    <w:rsid w:val="004B3AE6"/>
    <w:rsid w:val="004B3ECE"/>
    <w:rsid w:val="004B584C"/>
    <w:rsid w:val="004B5C33"/>
    <w:rsid w:val="004C2635"/>
    <w:rsid w:val="004C4928"/>
    <w:rsid w:val="004C4AF2"/>
    <w:rsid w:val="004C5C47"/>
    <w:rsid w:val="004C7B41"/>
    <w:rsid w:val="004D0E80"/>
    <w:rsid w:val="004D5227"/>
    <w:rsid w:val="004D5E58"/>
    <w:rsid w:val="004D6825"/>
    <w:rsid w:val="004D7362"/>
    <w:rsid w:val="004E02D3"/>
    <w:rsid w:val="004E14A5"/>
    <w:rsid w:val="004E245F"/>
    <w:rsid w:val="004E2DFC"/>
    <w:rsid w:val="004F08E2"/>
    <w:rsid w:val="004F1312"/>
    <w:rsid w:val="004F14CD"/>
    <w:rsid w:val="004F1763"/>
    <w:rsid w:val="004F1A57"/>
    <w:rsid w:val="004F2114"/>
    <w:rsid w:val="004F663D"/>
    <w:rsid w:val="004F6E11"/>
    <w:rsid w:val="004F7C71"/>
    <w:rsid w:val="00502B34"/>
    <w:rsid w:val="00503F2F"/>
    <w:rsid w:val="00505E09"/>
    <w:rsid w:val="00506F3D"/>
    <w:rsid w:val="005074C0"/>
    <w:rsid w:val="005079F7"/>
    <w:rsid w:val="00510410"/>
    <w:rsid w:val="0051049C"/>
    <w:rsid w:val="005109F9"/>
    <w:rsid w:val="00511A68"/>
    <w:rsid w:val="00512325"/>
    <w:rsid w:val="00512DA4"/>
    <w:rsid w:val="0051423B"/>
    <w:rsid w:val="005155C0"/>
    <w:rsid w:val="00515B5F"/>
    <w:rsid w:val="00520C07"/>
    <w:rsid w:val="00521378"/>
    <w:rsid w:val="00521C4B"/>
    <w:rsid w:val="005220C3"/>
    <w:rsid w:val="005247FA"/>
    <w:rsid w:val="005248BE"/>
    <w:rsid w:val="00525010"/>
    <w:rsid w:val="00526DD0"/>
    <w:rsid w:val="00530270"/>
    <w:rsid w:val="00530B36"/>
    <w:rsid w:val="00530D0C"/>
    <w:rsid w:val="005332D1"/>
    <w:rsid w:val="005345F7"/>
    <w:rsid w:val="00534CBE"/>
    <w:rsid w:val="00534EC8"/>
    <w:rsid w:val="00534FF8"/>
    <w:rsid w:val="005360B5"/>
    <w:rsid w:val="005372D2"/>
    <w:rsid w:val="00540FFC"/>
    <w:rsid w:val="005422BF"/>
    <w:rsid w:val="005442F6"/>
    <w:rsid w:val="005446E9"/>
    <w:rsid w:val="00544C7D"/>
    <w:rsid w:val="00546272"/>
    <w:rsid w:val="005471A3"/>
    <w:rsid w:val="005471D3"/>
    <w:rsid w:val="005501EC"/>
    <w:rsid w:val="00551190"/>
    <w:rsid w:val="00551817"/>
    <w:rsid w:val="00551C6F"/>
    <w:rsid w:val="0055239D"/>
    <w:rsid w:val="00552A49"/>
    <w:rsid w:val="00554DF5"/>
    <w:rsid w:val="0055673D"/>
    <w:rsid w:val="005575CD"/>
    <w:rsid w:val="005619CE"/>
    <w:rsid w:val="00561F65"/>
    <w:rsid w:val="00563792"/>
    <w:rsid w:val="00563963"/>
    <w:rsid w:val="00564335"/>
    <w:rsid w:val="0056555A"/>
    <w:rsid w:val="00566D71"/>
    <w:rsid w:val="00570E1F"/>
    <w:rsid w:val="005732D4"/>
    <w:rsid w:val="00573F48"/>
    <w:rsid w:val="005743AC"/>
    <w:rsid w:val="00574E92"/>
    <w:rsid w:val="00576AE5"/>
    <w:rsid w:val="00576C08"/>
    <w:rsid w:val="0058098A"/>
    <w:rsid w:val="00581142"/>
    <w:rsid w:val="0058175B"/>
    <w:rsid w:val="00581C08"/>
    <w:rsid w:val="005825A4"/>
    <w:rsid w:val="0058283D"/>
    <w:rsid w:val="00585BBB"/>
    <w:rsid w:val="005870FA"/>
    <w:rsid w:val="00587D68"/>
    <w:rsid w:val="005901CD"/>
    <w:rsid w:val="00590AE3"/>
    <w:rsid w:val="00590E23"/>
    <w:rsid w:val="005912F0"/>
    <w:rsid w:val="0059204C"/>
    <w:rsid w:val="00592D19"/>
    <w:rsid w:val="005943A9"/>
    <w:rsid w:val="00596976"/>
    <w:rsid w:val="00597C4B"/>
    <w:rsid w:val="005A086B"/>
    <w:rsid w:val="005A151C"/>
    <w:rsid w:val="005A20EE"/>
    <w:rsid w:val="005A21C2"/>
    <w:rsid w:val="005A2E31"/>
    <w:rsid w:val="005A30A5"/>
    <w:rsid w:val="005A32A4"/>
    <w:rsid w:val="005A7B14"/>
    <w:rsid w:val="005B0A3F"/>
    <w:rsid w:val="005B2386"/>
    <w:rsid w:val="005B2B4C"/>
    <w:rsid w:val="005B2CC2"/>
    <w:rsid w:val="005B34D8"/>
    <w:rsid w:val="005B36DE"/>
    <w:rsid w:val="005B3AED"/>
    <w:rsid w:val="005B52B7"/>
    <w:rsid w:val="005B5979"/>
    <w:rsid w:val="005C0C5A"/>
    <w:rsid w:val="005C0FB8"/>
    <w:rsid w:val="005C1050"/>
    <w:rsid w:val="005C3A52"/>
    <w:rsid w:val="005C3F34"/>
    <w:rsid w:val="005C426D"/>
    <w:rsid w:val="005C480D"/>
    <w:rsid w:val="005C58A7"/>
    <w:rsid w:val="005C5B44"/>
    <w:rsid w:val="005D0129"/>
    <w:rsid w:val="005D207C"/>
    <w:rsid w:val="005D69EE"/>
    <w:rsid w:val="005D7D77"/>
    <w:rsid w:val="005D7DE9"/>
    <w:rsid w:val="005E0067"/>
    <w:rsid w:val="005E0304"/>
    <w:rsid w:val="005E1D8F"/>
    <w:rsid w:val="005E249E"/>
    <w:rsid w:val="005E2BE5"/>
    <w:rsid w:val="005E4BD9"/>
    <w:rsid w:val="005E6E6B"/>
    <w:rsid w:val="005F0379"/>
    <w:rsid w:val="005F0679"/>
    <w:rsid w:val="005F1BD1"/>
    <w:rsid w:val="005F1DBC"/>
    <w:rsid w:val="005F328C"/>
    <w:rsid w:val="005F34CE"/>
    <w:rsid w:val="005F3862"/>
    <w:rsid w:val="005F656A"/>
    <w:rsid w:val="005F6C0D"/>
    <w:rsid w:val="006007E2"/>
    <w:rsid w:val="0060104C"/>
    <w:rsid w:val="00601CC3"/>
    <w:rsid w:val="00605F47"/>
    <w:rsid w:val="00606526"/>
    <w:rsid w:val="00606AD9"/>
    <w:rsid w:val="00614737"/>
    <w:rsid w:val="006163AD"/>
    <w:rsid w:val="0062086D"/>
    <w:rsid w:val="00621183"/>
    <w:rsid w:val="00623035"/>
    <w:rsid w:val="00623313"/>
    <w:rsid w:val="0062480F"/>
    <w:rsid w:val="00625913"/>
    <w:rsid w:val="006264C1"/>
    <w:rsid w:val="00626D49"/>
    <w:rsid w:val="0062751C"/>
    <w:rsid w:val="0063085B"/>
    <w:rsid w:val="00630D71"/>
    <w:rsid w:val="00631AA2"/>
    <w:rsid w:val="00632BB1"/>
    <w:rsid w:val="0063301F"/>
    <w:rsid w:val="00633CE1"/>
    <w:rsid w:val="0063494B"/>
    <w:rsid w:val="00635182"/>
    <w:rsid w:val="00635A7F"/>
    <w:rsid w:val="006377A7"/>
    <w:rsid w:val="00641D3A"/>
    <w:rsid w:val="00642C2D"/>
    <w:rsid w:val="00642D7C"/>
    <w:rsid w:val="006448F6"/>
    <w:rsid w:val="00644AB6"/>
    <w:rsid w:val="00647D29"/>
    <w:rsid w:val="00657313"/>
    <w:rsid w:val="00664AC6"/>
    <w:rsid w:val="00666296"/>
    <w:rsid w:val="00666F85"/>
    <w:rsid w:val="00667472"/>
    <w:rsid w:val="0066751E"/>
    <w:rsid w:val="006706B3"/>
    <w:rsid w:val="00672427"/>
    <w:rsid w:val="00673EA0"/>
    <w:rsid w:val="0067462E"/>
    <w:rsid w:val="00675A99"/>
    <w:rsid w:val="00676185"/>
    <w:rsid w:val="00676719"/>
    <w:rsid w:val="00676F57"/>
    <w:rsid w:val="00680D59"/>
    <w:rsid w:val="00682D96"/>
    <w:rsid w:val="006838ED"/>
    <w:rsid w:val="0068538D"/>
    <w:rsid w:val="0068709D"/>
    <w:rsid w:val="0068718E"/>
    <w:rsid w:val="006872F6"/>
    <w:rsid w:val="006905A2"/>
    <w:rsid w:val="00691FB3"/>
    <w:rsid w:val="00692F87"/>
    <w:rsid w:val="00693F9F"/>
    <w:rsid w:val="00694858"/>
    <w:rsid w:val="00695AB5"/>
    <w:rsid w:val="00695FDC"/>
    <w:rsid w:val="00696E1F"/>
    <w:rsid w:val="00697848"/>
    <w:rsid w:val="006A0A47"/>
    <w:rsid w:val="006A1299"/>
    <w:rsid w:val="006A3C17"/>
    <w:rsid w:val="006A6D3C"/>
    <w:rsid w:val="006B01BC"/>
    <w:rsid w:val="006B12C6"/>
    <w:rsid w:val="006B1C92"/>
    <w:rsid w:val="006B21B8"/>
    <w:rsid w:val="006B26D0"/>
    <w:rsid w:val="006B33D2"/>
    <w:rsid w:val="006B5B08"/>
    <w:rsid w:val="006B64EF"/>
    <w:rsid w:val="006B69AC"/>
    <w:rsid w:val="006B6ABB"/>
    <w:rsid w:val="006B7747"/>
    <w:rsid w:val="006C2FBE"/>
    <w:rsid w:val="006C3A5E"/>
    <w:rsid w:val="006C49F1"/>
    <w:rsid w:val="006C620C"/>
    <w:rsid w:val="006C6305"/>
    <w:rsid w:val="006C6FA7"/>
    <w:rsid w:val="006C7585"/>
    <w:rsid w:val="006D18E8"/>
    <w:rsid w:val="006D6F6F"/>
    <w:rsid w:val="006E03E5"/>
    <w:rsid w:val="006E378D"/>
    <w:rsid w:val="006E429F"/>
    <w:rsid w:val="006E4377"/>
    <w:rsid w:val="006E6EE3"/>
    <w:rsid w:val="006F1556"/>
    <w:rsid w:val="006F2A3D"/>
    <w:rsid w:val="006F3140"/>
    <w:rsid w:val="006F3788"/>
    <w:rsid w:val="006F497F"/>
    <w:rsid w:val="006F4EB1"/>
    <w:rsid w:val="007001CA"/>
    <w:rsid w:val="00702715"/>
    <w:rsid w:val="00702EE5"/>
    <w:rsid w:val="00707C52"/>
    <w:rsid w:val="00713A8D"/>
    <w:rsid w:val="00713C4D"/>
    <w:rsid w:val="00714672"/>
    <w:rsid w:val="007169BA"/>
    <w:rsid w:val="007179E2"/>
    <w:rsid w:val="007210C5"/>
    <w:rsid w:val="00721488"/>
    <w:rsid w:val="00722513"/>
    <w:rsid w:val="00722F03"/>
    <w:rsid w:val="00723101"/>
    <w:rsid w:val="00724DB2"/>
    <w:rsid w:val="00725727"/>
    <w:rsid w:val="00727965"/>
    <w:rsid w:val="00727A26"/>
    <w:rsid w:val="00730994"/>
    <w:rsid w:val="00730C98"/>
    <w:rsid w:val="00731227"/>
    <w:rsid w:val="0073241E"/>
    <w:rsid w:val="00733039"/>
    <w:rsid w:val="00733208"/>
    <w:rsid w:val="0073350E"/>
    <w:rsid w:val="0073653D"/>
    <w:rsid w:val="00743BA4"/>
    <w:rsid w:val="007442B4"/>
    <w:rsid w:val="00745B13"/>
    <w:rsid w:val="00746884"/>
    <w:rsid w:val="00750502"/>
    <w:rsid w:val="00752CCE"/>
    <w:rsid w:val="007532CE"/>
    <w:rsid w:val="007532DE"/>
    <w:rsid w:val="00753EA5"/>
    <w:rsid w:val="007554AA"/>
    <w:rsid w:val="007601A2"/>
    <w:rsid w:val="00761095"/>
    <w:rsid w:val="00762498"/>
    <w:rsid w:val="007626F6"/>
    <w:rsid w:val="007665BE"/>
    <w:rsid w:val="007669BC"/>
    <w:rsid w:val="007703E7"/>
    <w:rsid w:val="00771B52"/>
    <w:rsid w:val="00772B63"/>
    <w:rsid w:val="00773FCC"/>
    <w:rsid w:val="007761A8"/>
    <w:rsid w:val="00777350"/>
    <w:rsid w:val="00782CC8"/>
    <w:rsid w:val="007834A6"/>
    <w:rsid w:val="007846B9"/>
    <w:rsid w:val="00784BE3"/>
    <w:rsid w:val="007875F0"/>
    <w:rsid w:val="00790BB2"/>
    <w:rsid w:val="00791256"/>
    <w:rsid w:val="007953C4"/>
    <w:rsid w:val="00795C21"/>
    <w:rsid w:val="007A1CBB"/>
    <w:rsid w:val="007A2504"/>
    <w:rsid w:val="007A5D57"/>
    <w:rsid w:val="007A5EB8"/>
    <w:rsid w:val="007A7D7A"/>
    <w:rsid w:val="007B0601"/>
    <w:rsid w:val="007B0F4C"/>
    <w:rsid w:val="007B356E"/>
    <w:rsid w:val="007B477B"/>
    <w:rsid w:val="007B4F71"/>
    <w:rsid w:val="007B59FB"/>
    <w:rsid w:val="007B76B6"/>
    <w:rsid w:val="007C1A08"/>
    <w:rsid w:val="007C38E1"/>
    <w:rsid w:val="007C47BD"/>
    <w:rsid w:val="007C4EF2"/>
    <w:rsid w:val="007C56AE"/>
    <w:rsid w:val="007C65F5"/>
    <w:rsid w:val="007C7A0E"/>
    <w:rsid w:val="007D05B3"/>
    <w:rsid w:val="007D0829"/>
    <w:rsid w:val="007D56ED"/>
    <w:rsid w:val="007D6555"/>
    <w:rsid w:val="007E01C4"/>
    <w:rsid w:val="007E20A1"/>
    <w:rsid w:val="007E2A2E"/>
    <w:rsid w:val="007E31DD"/>
    <w:rsid w:val="007E666C"/>
    <w:rsid w:val="007E799B"/>
    <w:rsid w:val="007F0A18"/>
    <w:rsid w:val="007F0DF2"/>
    <w:rsid w:val="007F1548"/>
    <w:rsid w:val="007F19FD"/>
    <w:rsid w:val="007F2272"/>
    <w:rsid w:val="007F2462"/>
    <w:rsid w:val="007F4354"/>
    <w:rsid w:val="00801FBA"/>
    <w:rsid w:val="00803400"/>
    <w:rsid w:val="00803B17"/>
    <w:rsid w:val="00803C98"/>
    <w:rsid w:val="00803F06"/>
    <w:rsid w:val="00804FB4"/>
    <w:rsid w:val="008060F9"/>
    <w:rsid w:val="00806173"/>
    <w:rsid w:val="00807175"/>
    <w:rsid w:val="008078CD"/>
    <w:rsid w:val="00810896"/>
    <w:rsid w:val="00811097"/>
    <w:rsid w:val="00811A2A"/>
    <w:rsid w:val="0081445B"/>
    <w:rsid w:val="008146D6"/>
    <w:rsid w:val="00816457"/>
    <w:rsid w:val="00821A02"/>
    <w:rsid w:val="008241CF"/>
    <w:rsid w:val="008312D8"/>
    <w:rsid w:val="008322BA"/>
    <w:rsid w:val="00832F68"/>
    <w:rsid w:val="00835110"/>
    <w:rsid w:val="00835207"/>
    <w:rsid w:val="008357E0"/>
    <w:rsid w:val="00835DB2"/>
    <w:rsid w:val="00837D0D"/>
    <w:rsid w:val="0084005E"/>
    <w:rsid w:val="00840920"/>
    <w:rsid w:val="00842469"/>
    <w:rsid w:val="00842A1E"/>
    <w:rsid w:val="00843147"/>
    <w:rsid w:val="00843B08"/>
    <w:rsid w:val="0084471B"/>
    <w:rsid w:val="008457AB"/>
    <w:rsid w:val="00847677"/>
    <w:rsid w:val="008510B0"/>
    <w:rsid w:val="008510F4"/>
    <w:rsid w:val="00852915"/>
    <w:rsid w:val="00853CCD"/>
    <w:rsid w:val="008552EC"/>
    <w:rsid w:val="00855F1F"/>
    <w:rsid w:val="00856712"/>
    <w:rsid w:val="00857468"/>
    <w:rsid w:val="0085755F"/>
    <w:rsid w:val="00860ADC"/>
    <w:rsid w:val="00860C7D"/>
    <w:rsid w:val="008611D9"/>
    <w:rsid w:val="0086304B"/>
    <w:rsid w:val="0086458A"/>
    <w:rsid w:val="00866403"/>
    <w:rsid w:val="008674A7"/>
    <w:rsid w:val="00870663"/>
    <w:rsid w:val="008766F7"/>
    <w:rsid w:val="00876EC3"/>
    <w:rsid w:val="00876F67"/>
    <w:rsid w:val="00880818"/>
    <w:rsid w:val="008811D4"/>
    <w:rsid w:val="008879C8"/>
    <w:rsid w:val="008911D4"/>
    <w:rsid w:val="00891F6D"/>
    <w:rsid w:val="00892596"/>
    <w:rsid w:val="008925FE"/>
    <w:rsid w:val="00892A3F"/>
    <w:rsid w:val="008947FE"/>
    <w:rsid w:val="00894A40"/>
    <w:rsid w:val="00895A92"/>
    <w:rsid w:val="00896321"/>
    <w:rsid w:val="008A1FEE"/>
    <w:rsid w:val="008A324F"/>
    <w:rsid w:val="008A39CE"/>
    <w:rsid w:val="008A3C08"/>
    <w:rsid w:val="008A3DC2"/>
    <w:rsid w:val="008A7E9E"/>
    <w:rsid w:val="008B29E4"/>
    <w:rsid w:val="008B3E4E"/>
    <w:rsid w:val="008B451D"/>
    <w:rsid w:val="008B5A5D"/>
    <w:rsid w:val="008B6019"/>
    <w:rsid w:val="008B6875"/>
    <w:rsid w:val="008B7780"/>
    <w:rsid w:val="008B7D9B"/>
    <w:rsid w:val="008C25FD"/>
    <w:rsid w:val="008C3E2A"/>
    <w:rsid w:val="008C458D"/>
    <w:rsid w:val="008C46DD"/>
    <w:rsid w:val="008C59E2"/>
    <w:rsid w:val="008C5C56"/>
    <w:rsid w:val="008C6E18"/>
    <w:rsid w:val="008C7728"/>
    <w:rsid w:val="008C7A7A"/>
    <w:rsid w:val="008D0217"/>
    <w:rsid w:val="008D2D11"/>
    <w:rsid w:val="008D3EB6"/>
    <w:rsid w:val="008D4E5C"/>
    <w:rsid w:val="008D51C9"/>
    <w:rsid w:val="008D5957"/>
    <w:rsid w:val="008D60FA"/>
    <w:rsid w:val="008D6C95"/>
    <w:rsid w:val="008D77BC"/>
    <w:rsid w:val="008D7B20"/>
    <w:rsid w:val="008E07D2"/>
    <w:rsid w:val="008E3205"/>
    <w:rsid w:val="008E3403"/>
    <w:rsid w:val="008E34A6"/>
    <w:rsid w:val="008E4AEF"/>
    <w:rsid w:val="008E58EC"/>
    <w:rsid w:val="008E6BF1"/>
    <w:rsid w:val="008F1FB0"/>
    <w:rsid w:val="008F22EA"/>
    <w:rsid w:val="008F4C7A"/>
    <w:rsid w:val="008F6116"/>
    <w:rsid w:val="008F74EB"/>
    <w:rsid w:val="008F7516"/>
    <w:rsid w:val="008F794D"/>
    <w:rsid w:val="00902570"/>
    <w:rsid w:val="0090288B"/>
    <w:rsid w:val="009028AF"/>
    <w:rsid w:val="00903F8C"/>
    <w:rsid w:val="009041B4"/>
    <w:rsid w:val="0090440C"/>
    <w:rsid w:val="009044B9"/>
    <w:rsid w:val="00905229"/>
    <w:rsid w:val="00905335"/>
    <w:rsid w:val="0090785E"/>
    <w:rsid w:val="0091057B"/>
    <w:rsid w:val="0091210A"/>
    <w:rsid w:val="0091372C"/>
    <w:rsid w:val="009139F5"/>
    <w:rsid w:val="00915C9E"/>
    <w:rsid w:val="00917499"/>
    <w:rsid w:val="009177B4"/>
    <w:rsid w:val="00920B88"/>
    <w:rsid w:val="00921111"/>
    <w:rsid w:val="0092247A"/>
    <w:rsid w:val="00922645"/>
    <w:rsid w:val="00922F95"/>
    <w:rsid w:val="00925303"/>
    <w:rsid w:val="009265B1"/>
    <w:rsid w:val="009266D0"/>
    <w:rsid w:val="00926E35"/>
    <w:rsid w:val="009308BB"/>
    <w:rsid w:val="00932FC9"/>
    <w:rsid w:val="00933E87"/>
    <w:rsid w:val="009342F7"/>
    <w:rsid w:val="00934C88"/>
    <w:rsid w:val="009364FF"/>
    <w:rsid w:val="00936787"/>
    <w:rsid w:val="00936840"/>
    <w:rsid w:val="009368C7"/>
    <w:rsid w:val="00936953"/>
    <w:rsid w:val="009377CC"/>
    <w:rsid w:val="009400D2"/>
    <w:rsid w:val="0094217F"/>
    <w:rsid w:val="0094291E"/>
    <w:rsid w:val="009436EA"/>
    <w:rsid w:val="00943CF0"/>
    <w:rsid w:val="009447C5"/>
    <w:rsid w:val="0094681A"/>
    <w:rsid w:val="00951164"/>
    <w:rsid w:val="00951430"/>
    <w:rsid w:val="009514E4"/>
    <w:rsid w:val="00951FFD"/>
    <w:rsid w:val="00952416"/>
    <w:rsid w:val="00954167"/>
    <w:rsid w:val="00955347"/>
    <w:rsid w:val="00962C66"/>
    <w:rsid w:val="00963400"/>
    <w:rsid w:val="00964D96"/>
    <w:rsid w:val="00964FD1"/>
    <w:rsid w:val="00965039"/>
    <w:rsid w:val="0096613D"/>
    <w:rsid w:val="0096767D"/>
    <w:rsid w:val="009712B0"/>
    <w:rsid w:val="009727C7"/>
    <w:rsid w:val="009730FA"/>
    <w:rsid w:val="0097323A"/>
    <w:rsid w:val="00973CB2"/>
    <w:rsid w:val="009742E8"/>
    <w:rsid w:val="00977489"/>
    <w:rsid w:val="00977F40"/>
    <w:rsid w:val="00980D53"/>
    <w:rsid w:val="00982CE1"/>
    <w:rsid w:val="00982D23"/>
    <w:rsid w:val="00984727"/>
    <w:rsid w:val="009857CF"/>
    <w:rsid w:val="00985C01"/>
    <w:rsid w:val="00985DEB"/>
    <w:rsid w:val="0099229F"/>
    <w:rsid w:val="00992E69"/>
    <w:rsid w:val="00993007"/>
    <w:rsid w:val="00993D8E"/>
    <w:rsid w:val="00994214"/>
    <w:rsid w:val="009942BD"/>
    <w:rsid w:val="00995DCE"/>
    <w:rsid w:val="009A0B74"/>
    <w:rsid w:val="009A1F76"/>
    <w:rsid w:val="009A24C8"/>
    <w:rsid w:val="009A27B3"/>
    <w:rsid w:val="009A2978"/>
    <w:rsid w:val="009A2DC9"/>
    <w:rsid w:val="009A4880"/>
    <w:rsid w:val="009B0307"/>
    <w:rsid w:val="009B0414"/>
    <w:rsid w:val="009B101A"/>
    <w:rsid w:val="009B1F94"/>
    <w:rsid w:val="009B2043"/>
    <w:rsid w:val="009B2181"/>
    <w:rsid w:val="009B3F70"/>
    <w:rsid w:val="009B4942"/>
    <w:rsid w:val="009B4BE4"/>
    <w:rsid w:val="009B5495"/>
    <w:rsid w:val="009B60F9"/>
    <w:rsid w:val="009B67FC"/>
    <w:rsid w:val="009B7666"/>
    <w:rsid w:val="009B79E8"/>
    <w:rsid w:val="009B7BFE"/>
    <w:rsid w:val="009B7CEF"/>
    <w:rsid w:val="009C1003"/>
    <w:rsid w:val="009C1740"/>
    <w:rsid w:val="009C1FB1"/>
    <w:rsid w:val="009C32F1"/>
    <w:rsid w:val="009C3530"/>
    <w:rsid w:val="009C4667"/>
    <w:rsid w:val="009D3F95"/>
    <w:rsid w:val="009D44C6"/>
    <w:rsid w:val="009D61ED"/>
    <w:rsid w:val="009D714A"/>
    <w:rsid w:val="009D7A13"/>
    <w:rsid w:val="009E02D1"/>
    <w:rsid w:val="009E1DC0"/>
    <w:rsid w:val="009E3FFA"/>
    <w:rsid w:val="009E4C53"/>
    <w:rsid w:val="009E6823"/>
    <w:rsid w:val="009E6BC6"/>
    <w:rsid w:val="009F07B3"/>
    <w:rsid w:val="009F0EA7"/>
    <w:rsid w:val="009F2237"/>
    <w:rsid w:val="009F4C82"/>
    <w:rsid w:val="009F4EB8"/>
    <w:rsid w:val="009F5536"/>
    <w:rsid w:val="009F576F"/>
    <w:rsid w:val="009F6A45"/>
    <w:rsid w:val="009F7E3E"/>
    <w:rsid w:val="00A02F69"/>
    <w:rsid w:val="00A06CB6"/>
    <w:rsid w:val="00A0736A"/>
    <w:rsid w:val="00A115D7"/>
    <w:rsid w:val="00A11DAF"/>
    <w:rsid w:val="00A11E17"/>
    <w:rsid w:val="00A16A72"/>
    <w:rsid w:val="00A16C1F"/>
    <w:rsid w:val="00A16F3C"/>
    <w:rsid w:val="00A20262"/>
    <w:rsid w:val="00A20A27"/>
    <w:rsid w:val="00A21709"/>
    <w:rsid w:val="00A229A8"/>
    <w:rsid w:val="00A23BE8"/>
    <w:rsid w:val="00A254C5"/>
    <w:rsid w:val="00A320D8"/>
    <w:rsid w:val="00A37530"/>
    <w:rsid w:val="00A37FC0"/>
    <w:rsid w:val="00A40E44"/>
    <w:rsid w:val="00A41566"/>
    <w:rsid w:val="00A41B20"/>
    <w:rsid w:val="00A4219B"/>
    <w:rsid w:val="00A4359B"/>
    <w:rsid w:val="00A44703"/>
    <w:rsid w:val="00A451DB"/>
    <w:rsid w:val="00A45BBC"/>
    <w:rsid w:val="00A474E4"/>
    <w:rsid w:val="00A518FB"/>
    <w:rsid w:val="00A52147"/>
    <w:rsid w:val="00A52370"/>
    <w:rsid w:val="00A52497"/>
    <w:rsid w:val="00A5400E"/>
    <w:rsid w:val="00A546D1"/>
    <w:rsid w:val="00A54900"/>
    <w:rsid w:val="00A55BD2"/>
    <w:rsid w:val="00A60DA9"/>
    <w:rsid w:val="00A61F8B"/>
    <w:rsid w:val="00A62253"/>
    <w:rsid w:val="00A64175"/>
    <w:rsid w:val="00A6418D"/>
    <w:rsid w:val="00A643C8"/>
    <w:rsid w:val="00A64482"/>
    <w:rsid w:val="00A647D8"/>
    <w:rsid w:val="00A652E1"/>
    <w:rsid w:val="00A6625C"/>
    <w:rsid w:val="00A66D45"/>
    <w:rsid w:val="00A725CB"/>
    <w:rsid w:val="00A72A15"/>
    <w:rsid w:val="00A72EE7"/>
    <w:rsid w:val="00A731DD"/>
    <w:rsid w:val="00A73BDF"/>
    <w:rsid w:val="00A740D9"/>
    <w:rsid w:val="00A74F9D"/>
    <w:rsid w:val="00A75519"/>
    <w:rsid w:val="00A80CC6"/>
    <w:rsid w:val="00A8176F"/>
    <w:rsid w:val="00A8253B"/>
    <w:rsid w:val="00A8351D"/>
    <w:rsid w:val="00A854C8"/>
    <w:rsid w:val="00A85C85"/>
    <w:rsid w:val="00A92B7E"/>
    <w:rsid w:val="00A92E28"/>
    <w:rsid w:val="00A92FAE"/>
    <w:rsid w:val="00A96C8B"/>
    <w:rsid w:val="00A971CD"/>
    <w:rsid w:val="00AA3090"/>
    <w:rsid w:val="00AA49F7"/>
    <w:rsid w:val="00AA726F"/>
    <w:rsid w:val="00AB2DEA"/>
    <w:rsid w:val="00AB6C4F"/>
    <w:rsid w:val="00AC0F95"/>
    <w:rsid w:val="00AC2B4E"/>
    <w:rsid w:val="00AC31AF"/>
    <w:rsid w:val="00AC5E63"/>
    <w:rsid w:val="00AC6897"/>
    <w:rsid w:val="00AC7729"/>
    <w:rsid w:val="00AD1C9D"/>
    <w:rsid w:val="00AD24D4"/>
    <w:rsid w:val="00AD372F"/>
    <w:rsid w:val="00AD3BEE"/>
    <w:rsid w:val="00AD3CDC"/>
    <w:rsid w:val="00AD3FAC"/>
    <w:rsid w:val="00AD443C"/>
    <w:rsid w:val="00AD5DEA"/>
    <w:rsid w:val="00AD6434"/>
    <w:rsid w:val="00AE09AC"/>
    <w:rsid w:val="00AE157C"/>
    <w:rsid w:val="00AE2106"/>
    <w:rsid w:val="00AE2ECE"/>
    <w:rsid w:val="00AE4DCC"/>
    <w:rsid w:val="00AE5196"/>
    <w:rsid w:val="00AE5748"/>
    <w:rsid w:val="00AE7251"/>
    <w:rsid w:val="00AF000B"/>
    <w:rsid w:val="00AF15EA"/>
    <w:rsid w:val="00AF2AEA"/>
    <w:rsid w:val="00AF40AA"/>
    <w:rsid w:val="00AF4BDF"/>
    <w:rsid w:val="00AF6756"/>
    <w:rsid w:val="00B018A6"/>
    <w:rsid w:val="00B032D6"/>
    <w:rsid w:val="00B04890"/>
    <w:rsid w:val="00B048CC"/>
    <w:rsid w:val="00B06396"/>
    <w:rsid w:val="00B0677A"/>
    <w:rsid w:val="00B06B66"/>
    <w:rsid w:val="00B11168"/>
    <w:rsid w:val="00B1297C"/>
    <w:rsid w:val="00B13D79"/>
    <w:rsid w:val="00B1712A"/>
    <w:rsid w:val="00B17520"/>
    <w:rsid w:val="00B20205"/>
    <w:rsid w:val="00B21930"/>
    <w:rsid w:val="00B22DE8"/>
    <w:rsid w:val="00B24A55"/>
    <w:rsid w:val="00B24D7F"/>
    <w:rsid w:val="00B25206"/>
    <w:rsid w:val="00B25590"/>
    <w:rsid w:val="00B30181"/>
    <w:rsid w:val="00B30A7D"/>
    <w:rsid w:val="00B329E4"/>
    <w:rsid w:val="00B33E3E"/>
    <w:rsid w:val="00B35850"/>
    <w:rsid w:val="00B3612B"/>
    <w:rsid w:val="00B3730A"/>
    <w:rsid w:val="00B37A4B"/>
    <w:rsid w:val="00B420D4"/>
    <w:rsid w:val="00B4561D"/>
    <w:rsid w:val="00B476D3"/>
    <w:rsid w:val="00B47E94"/>
    <w:rsid w:val="00B501EF"/>
    <w:rsid w:val="00B509D0"/>
    <w:rsid w:val="00B52D1B"/>
    <w:rsid w:val="00B532AD"/>
    <w:rsid w:val="00B53832"/>
    <w:rsid w:val="00B54007"/>
    <w:rsid w:val="00B54345"/>
    <w:rsid w:val="00B574AC"/>
    <w:rsid w:val="00B57C75"/>
    <w:rsid w:val="00B57E43"/>
    <w:rsid w:val="00B63748"/>
    <w:rsid w:val="00B63BBC"/>
    <w:rsid w:val="00B648E3"/>
    <w:rsid w:val="00B64B2E"/>
    <w:rsid w:val="00B6545D"/>
    <w:rsid w:val="00B658EF"/>
    <w:rsid w:val="00B65CEE"/>
    <w:rsid w:val="00B65DEA"/>
    <w:rsid w:val="00B66482"/>
    <w:rsid w:val="00B679BE"/>
    <w:rsid w:val="00B7573C"/>
    <w:rsid w:val="00B761D7"/>
    <w:rsid w:val="00B761F0"/>
    <w:rsid w:val="00B76708"/>
    <w:rsid w:val="00B76BFB"/>
    <w:rsid w:val="00B77C98"/>
    <w:rsid w:val="00B80A48"/>
    <w:rsid w:val="00B810DD"/>
    <w:rsid w:val="00B82544"/>
    <w:rsid w:val="00B8279D"/>
    <w:rsid w:val="00B830F1"/>
    <w:rsid w:val="00B83A22"/>
    <w:rsid w:val="00B8521C"/>
    <w:rsid w:val="00B85FCD"/>
    <w:rsid w:val="00B861B9"/>
    <w:rsid w:val="00B8678D"/>
    <w:rsid w:val="00B86DB7"/>
    <w:rsid w:val="00B87CBD"/>
    <w:rsid w:val="00B90831"/>
    <w:rsid w:val="00B92AB8"/>
    <w:rsid w:val="00B93852"/>
    <w:rsid w:val="00B94D49"/>
    <w:rsid w:val="00B95BE1"/>
    <w:rsid w:val="00B96BA4"/>
    <w:rsid w:val="00BA11E0"/>
    <w:rsid w:val="00BA1637"/>
    <w:rsid w:val="00BA1DA9"/>
    <w:rsid w:val="00BA41B5"/>
    <w:rsid w:val="00BA6D0B"/>
    <w:rsid w:val="00BA738F"/>
    <w:rsid w:val="00BB0590"/>
    <w:rsid w:val="00BB18DA"/>
    <w:rsid w:val="00BB1B1D"/>
    <w:rsid w:val="00BB1CAD"/>
    <w:rsid w:val="00BB3B49"/>
    <w:rsid w:val="00BB5340"/>
    <w:rsid w:val="00BB6029"/>
    <w:rsid w:val="00BC3A31"/>
    <w:rsid w:val="00BC48A2"/>
    <w:rsid w:val="00BC5059"/>
    <w:rsid w:val="00BC67B2"/>
    <w:rsid w:val="00BC79C8"/>
    <w:rsid w:val="00BC7B06"/>
    <w:rsid w:val="00BD0352"/>
    <w:rsid w:val="00BD0388"/>
    <w:rsid w:val="00BD4F53"/>
    <w:rsid w:val="00BD5671"/>
    <w:rsid w:val="00BD57E8"/>
    <w:rsid w:val="00BD6939"/>
    <w:rsid w:val="00BE0D40"/>
    <w:rsid w:val="00BE1989"/>
    <w:rsid w:val="00BE22EF"/>
    <w:rsid w:val="00BE24B6"/>
    <w:rsid w:val="00BE28FC"/>
    <w:rsid w:val="00BE393B"/>
    <w:rsid w:val="00BE5561"/>
    <w:rsid w:val="00BE60FC"/>
    <w:rsid w:val="00BE7151"/>
    <w:rsid w:val="00BE7B06"/>
    <w:rsid w:val="00BE7DC9"/>
    <w:rsid w:val="00BF17B2"/>
    <w:rsid w:val="00BF2EE8"/>
    <w:rsid w:val="00BF38C9"/>
    <w:rsid w:val="00BF62AC"/>
    <w:rsid w:val="00C000F4"/>
    <w:rsid w:val="00C01F29"/>
    <w:rsid w:val="00C02184"/>
    <w:rsid w:val="00C03063"/>
    <w:rsid w:val="00C03BC3"/>
    <w:rsid w:val="00C03F6E"/>
    <w:rsid w:val="00C041E1"/>
    <w:rsid w:val="00C06679"/>
    <w:rsid w:val="00C06FE9"/>
    <w:rsid w:val="00C0760E"/>
    <w:rsid w:val="00C1060A"/>
    <w:rsid w:val="00C13003"/>
    <w:rsid w:val="00C13FF5"/>
    <w:rsid w:val="00C21B70"/>
    <w:rsid w:val="00C25161"/>
    <w:rsid w:val="00C26A2A"/>
    <w:rsid w:val="00C328DB"/>
    <w:rsid w:val="00C35EA8"/>
    <w:rsid w:val="00C410DF"/>
    <w:rsid w:val="00C4145E"/>
    <w:rsid w:val="00C41A64"/>
    <w:rsid w:val="00C42DF4"/>
    <w:rsid w:val="00C445A5"/>
    <w:rsid w:val="00C44BC1"/>
    <w:rsid w:val="00C472AC"/>
    <w:rsid w:val="00C47EE9"/>
    <w:rsid w:val="00C5042B"/>
    <w:rsid w:val="00C51289"/>
    <w:rsid w:val="00C519ED"/>
    <w:rsid w:val="00C53815"/>
    <w:rsid w:val="00C53888"/>
    <w:rsid w:val="00C53D91"/>
    <w:rsid w:val="00C5505E"/>
    <w:rsid w:val="00C562AD"/>
    <w:rsid w:val="00C56531"/>
    <w:rsid w:val="00C6127F"/>
    <w:rsid w:val="00C61C56"/>
    <w:rsid w:val="00C62081"/>
    <w:rsid w:val="00C702D9"/>
    <w:rsid w:val="00C719B0"/>
    <w:rsid w:val="00C72A47"/>
    <w:rsid w:val="00C736ED"/>
    <w:rsid w:val="00C73FBF"/>
    <w:rsid w:val="00C75096"/>
    <w:rsid w:val="00C81899"/>
    <w:rsid w:val="00C8429A"/>
    <w:rsid w:val="00C84B91"/>
    <w:rsid w:val="00C91C9C"/>
    <w:rsid w:val="00C9286B"/>
    <w:rsid w:val="00C92A34"/>
    <w:rsid w:val="00C92B19"/>
    <w:rsid w:val="00C93021"/>
    <w:rsid w:val="00C938F8"/>
    <w:rsid w:val="00C9489E"/>
    <w:rsid w:val="00C94CB5"/>
    <w:rsid w:val="00C9567C"/>
    <w:rsid w:val="00C97178"/>
    <w:rsid w:val="00C97A67"/>
    <w:rsid w:val="00CA088D"/>
    <w:rsid w:val="00CA0EA1"/>
    <w:rsid w:val="00CA1405"/>
    <w:rsid w:val="00CA196B"/>
    <w:rsid w:val="00CA1F6B"/>
    <w:rsid w:val="00CA2EF0"/>
    <w:rsid w:val="00CA51FD"/>
    <w:rsid w:val="00CA64C5"/>
    <w:rsid w:val="00CA789A"/>
    <w:rsid w:val="00CA7B49"/>
    <w:rsid w:val="00CA7EB1"/>
    <w:rsid w:val="00CB372B"/>
    <w:rsid w:val="00CB4DC9"/>
    <w:rsid w:val="00CB6CDE"/>
    <w:rsid w:val="00CB7855"/>
    <w:rsid w:val="00CC1D3A"/>
    <w:rsid w:val="00CC2FDC"/>
    <w:rsid w:val="00CC6569"/>
    <w:rsid w:val="00CC7F2B"/>
    <w:rsid w:val="00CD0A2E"/>
    <w:rsid w:val="00CD1239"/>
    <w:rsid w:val="00CD1AAF"/>
    <w:rsid w:val="00CD270F"/>
    <w:rsid w:val="00CD3601"/>
    <w:rsid w:val="00CD3B8D"/>
    <w:rsid w:val="00CD417C"/>
    <w:rsid w:val="00CD69C4"/>
    <w:rsid w:val="00CD6C20"/>
    <w:rsid w:val="00CE03A3"/>
    <w:rsid w:val="00CE081C"/>
    <w:rsid w:val="00CE2D20"/>
    <w:rsid w:val="00CE2F48"/>
    <w:rsid w:val="00CE3734"/>
    <w:rsid w:val="00CE40E8"/>
    <w:rsid w:val="00CE486E"/>
    <w:rsid w:val="00CE48CD"/>
    <w:rsid w:val="00CE50A9"/>
    <w:rsid w:val="00CE5907"/>
    <w:rsid w:val="00CE65BE"/>
    <w:rsid w:val="00CE6913"/>
    <w:rsid w:val="00CE6F41"/>
    <w:rsid w:val="00CF03AD"/>
    <w:rsid w:val="00CF12B6"/>
    <w:rsid w:val="00CF1FB5"/>
    <w:rsid w:val="00CF2B5E"/>
    <w:rsid w:val="00CF5DD8"/>
    <w:rsid w:val="00CF658C"/>
    <w:rsid w:val="00CF65D4"/>
    <w:rsid w:val="00CF7337"/>
    <w:rsid w:val="00CF7B15"/>
    <w:rsid w:val="00D019C5"/>
    <w:rsid w:val="00D01DF5"/>
    <w:rsid w:val="00D050BC"/>
    <w:rsid w:val="00D05AAE"/>
    <w:rsid w:val="00D06990"/>
    <w:rsid w:val="00D1186E"/>
    <w:rsid w:val="00D1220A"/>
    <w:rsid w:val="00D138DA"/>
    <w:rsid w:val="00D13E44"/>
    <w:rsid w:val="00D141B4"/>
    <w:rsid w:val="00D174AF"/>
    <w:rsid w:val="00D21824"/>
    <w:rsid w:val="00D22B65"/>
    <w:rsid w:val="00D22B7D"/>
    <w:rsid w:val="00D22F89"/>
    <w:rsid w:val="00D2340A"/>
    <w:rsid w:val="00D30408"/>
    <w:rsid w:val="00D3181F"/>
    <w:rsid w:val="00D31A90"/>
    <w:rsid w:val="00D3261B"/>
    <w:rsid w:val="00D348D7"/>
    <w:rsid w:val="00D36503"/>
    <w:rsid w:val="00D365AA"/>
    <w:rsid w:val="00D37442"/>
    <w:rsid w:val="00D405B8"/>
    <w:rsid w:val="00D41C0C"/>
    <w:rsid w:val="00D42017"/>
    <w:rsid w:val="00D42693"/>
    <w:rsid w:val="00D42C59"/>
    <w:rsid w:val="00D4513E"/>
    <w:rsid w:val="00D47976"/>
    <w:rsid w:val="00D500E9"/>
    <w:rsid w:val="00D518F1"/>
    <w:rsid w:val="00D51E87"/>
    <w:rsid w:val="00D52A8C"/>
    <w:rsid w:val="00D52E02"/>
    <w:rsid w:val="00D52F55"/>
    <w:rsid w:val="00D53C8B"/>
    <w:rsid w:val="00D560B8"/>
    <w:rsid w:val="00D56C4C"/>
    <w:rsid w:val="00D57011"/>
    <w:rsid w:val="00D57657"/>
    <w:rsid w:val="00D57999"/>
    <w:rsid w:val="00D602F7"/>
    <w:rsid w:val="00D61000"/>
    <w:rsid w:val="00D61B4E"/>
    <w:rsid w:val="00D62645"/>
    <w:rsid w:val="00D630CC"/>
    <w:rsid w:val="00D644E4"/>
    <w:rsid w:val="00D64DBF"/>
    <w:rsid w:val="00D6527E"/>
    <w:rsid w:val="00D65387"/>
    <w:rsid w:val="00D65881"/>
    <w:rsid w:val="00D66363"/>
    <w:rsid w:val="00D666C6"/>
    <w:rsid w:val="00D67BA9"/>
    <w:rsid w:val="00D7101F"/>
    <w:rsid w:val="00D72480"/>
    <w:rsid w:val="00D74292"/>
    <w:rsid w:val="00D754D2"/>
    <w:rsid w:val="00D76A2C"/>
    <w:rsid w:val="00D76B16"/>
    <w:rsid w:val="00D76B1A"/>
    <w:rsid w:val="00D77670"/>
    <w:rsid w:val="00D8029C"/>
    <w:rsid w:val="00D803CD"/>
    <w:rsid w:val="00D8141B"/>
    <w:rsid w:val="00D831E5"/>
    <w:rsid w:val="00D835E0"/>
    <w:rsid w:val="00D85537"/>
    <w:rsid w:val="00D85BF8"/>
    <w:rsid w:val="00D85C64"/>
    <w:rsid w:val="00D87561"/>
    <w:rsid w:val="00D879EA"/>
    <w:rsid w:val="00D903A6"/>
    <w:rsid w:val="00D91F25"/>
    <w:rsid w:val="00D9254E"/>
    <w:rsid w:val="00D9285B"/>
    <w:rsid w:val="00D94DFA"/>
    <w:rsid w:val="00D95056"/>
    <w:rsid w:val="00DA24D4"/>
    <w:rsid w:val="00DA270B"/>
    <w:rsid w:val="00DA3386"/>
    <w:rsid w:val="00DA3923"/>
    <w:rsid w:val="00DA3DDE"/>
    <w:rsid w:val="00DA5B26"/>
    <w:rsid w:val="00DA5D1D"/>
    <w:rsid w:val="00DA7172"/>
    <w:rsid w:val="00DA795D"/>
    <w:rsid w:val="00DA7BF3"/>
    <w:rsid w:val="00DB0B90"/>
    <w:rsid w:val="00DB29AA"/>
    <w:rsid w:val="00DB36D9"/>
    <w:rsid w:val="00DB4A77"/>
    <w:rsid w:val="00DB4E5D"/>
    <w:rsid w:val="00DB5A11"/>
    <w:rsid w:val="00DB65FF"/>
    <w:rsid w:val="00DB73D3"/>
    <w:rsid w:val="00DB7CD1"/>
    <w:rsid w:val="00DC3880"/>
    <w:rsid w:val="00DC4114"/>
    <w:rsid w:val="00DC5F26"/>
    <w:rsid w:val="00DC6EB4"/>
    <w:rsid w:val="00DC7A03"/>
    <w:rsid w:val="00DD1E2C"/>
    <w:rsid w:val="00DD4FC3"/>
    <w:rsid w:val="00DD5322"/>
    <w:rsid w:val="00DD63B5"/>
    <w:rsid w:val="00DD641A"/>
    <w:rsid w:val="00DD68AE"/>
    <w:rsid w:val="00DD721F"/>
    <w:rsid w:val="00DD7569"/>
    <w:rsid w:val="00DE007D"/>
    <w:rsid w:val="00DE0820"/>
    <w:rsid w:val="00DE0FCE"/>
    <w:rsid w:val="00DE6A07"/>
    <w:rsid w:val="00DE7313"/>
    <w:rsid w:val="00DE7F23"/>
    <w:rsid w:val="00DF3210"/>
    <w:rsid w:val="00DF32F6"/>
    <w:rsid w:val="00DF4DF6"/>
    <w:rsid w:val="00DF56A1"/>
    <w:rsid w:val="00DF5F59"/>
    <w:rsid w:val="00DF6106"/>
    <w:rsid w:val="00DF6122"/>
    <w:rsid w:val="00DF727D"/>
    <w:rsid w:val="00DF7FC2"/>
    <w:rsid w:val="00E005CC"/>
    <w:rsid w:val="00E048E0"/>
    <w:rsid w:val="00E04BF7"/>
    <w:rsid w:val="00E060AC"/>
    <w:rsid w:val="00E064D5"/>
    <w:rsid w:val="00E06A84"/>
    <w:rsid w:val="00E121D8"/>
    <w:rsid w:val="00E1430B"/>
    <w:rsid w:val="00E154B8"/>
    <w:rsid w:val="00E17226"/>
    <w:rsid w:val="00E17E20"/>
    <w:rsid w:val="00E20615"/>
    <w:rsid w:val="00E20E45"/>
    <w:rsid w:val="00E212B1"/>
    <w:rsid w:val="00E21584"/>
    <w:rsid w:val="00E2283E"/>
    <w:rsid w:val="00E24798"/>
    <w:rsid w:val="00E24809"/>
    <w:rsid w:val="00E25424"/>
    <w:rsid w:val="00E317A0"/>
    <w:rsid w:val="00E328BC"/>
    <w:rsid w:val="00E32C56"/>
    <w:rsid w:val="00E32EE2"/>
    <w:rsid w:val="00E33630"/>
    <w:rsid w:val="00E33691"/>
    <w:rsid w:val="00E3406C"/>
    <w:rsid w:val="00E3421B"/>
    <w:rsid w:val="00E3590D"/>
    <w:rsid w:val="00E365EB"/>
    <w:rsid w:val="00E36A25"/>
    <w:rsid w:val="00E40A93"/>
    <w:rsid w:val="00E41F09"/>
    <w:rsid w:val="00E41F40"/>
    <w:rsid w:val="00E43245"/>
    <w:rsid w:val="00E50630"/>
    <w:rsid w:val="00E52AF5"/>
    <w:rsid w:val="00E53882"/>
    <w:rsid w:val="00E558BE"/>
    <w:rsid w:val="00E55B0D"/>
    <w:rsid w:val="00E55FE7"/>
    <w:rsid w:val="00E622AA"/>
    <w:rsid w:val="00E6525C"/>
    <w:rsid w:val="00E65621"/>
    <w:rsid w:val="00E65CEE"/>
    <w:rsid w:val="00E65F0D"/>
    <w:rsid w:val="00E705F9"/>
    <w:rsid w:val="00E71170"/>
    <w:rsid w:val="00E75A14"/>
    <w:rsid w:val="00E76114"/>
    <w:rsid w:val="00E76827"/>
    <w:rsid w:val="00E7713C"/>
    <w:rsid w:val="00E779F5"/>
    <w:rsid w:val="00E77BE9"/>
    <w:rsid w:val="00E804CA"/>
    <w:rsid w:val="00E80749"/>
    <w:rsid w:val="00E82E1F"/>
    <w:rsid w:val="00E837DE"/>
    <w:rsid w:val="00E848DA"/>
    <w:rsid w:val="00E86DF5"/>
    <w:rsid w:val="00E87264"/>
    <w:rsid w:val="00E91ABF"/>
    <w:rsid w:val="00E91DDC"/>
    <w:rsid w:val="00E92657"/>
    <w:rsid w:val="00E92756"/>
    <w:rsid w:val="00E92A17"/>
    <w:rsid w:val="00E92E55"/>
    <w:rsid w:val="00E92E56"/>
    <w:rsid w:val="00E9411A"/>
    <w:rsid w:val="00E95560"/>
    <w:rsid w:val="00E9576C"/>
    <w:rsid w:val="00E97DFB"/>
    <w:rsid w:val="00EA0389"/>
    <w:rsid w:val="00EA5212"/>
    <w:rsid w:val="00EB200D"/>
    <w:rsid w:val="00EB2936"/>
    <w:rsid w:val="00EB3BF8"/>
    <w:rsid w:val="00EB4D80"/>
    <w:rsid w:val="00EB5B6E"/>
    <w:rsid w:val="00EB68BE"/>
    <w:rsid w:val="00EB6AAF"/>
    <w:rsid w:val="00EB7F76"/>
    <w:rsid w:val="00EC13F4"/>
    <w:rsid w:val="00EC1A8B"/>
    <w:rsid w:val="00EC2FDD"/>
    <w:rsid w:val="00EC38D3"/>
    <w:rsid w:val="00EC4655"/>
    <w:rsid w:val="00ED275C"/>
    <w:rsid w:val="00ED3A96"/>
    <w:rsid w:val="00ED3D61"/>
    <w:rsid w:val="00ED444C"/>
    <w:rsid w:val="00ED5496"/>
    <w:rsid w:val="00ED6507"/>
    <w:rsid w:val="00ED651B"/>
    <w:rsid w:val="00ED6A85"/>
    <w:rsid w:val="00ED6CE6"/>
    <w:rsid w:val="00EE1136"/>
    <w:rsid w:val="00EE1CA6"/>
    <w:rsid w:val="00EE2282"/>
    <w:rsid w:val="00EE28C5"/>
    <w:rsid w:val="00EE2B59"/>
    <w:rsid w:val="00EE48CA"/>
    <w:rsid w:val="00EE628F"/>
    <w:rsid w:val="00EF05CC"/>
    <w:rsid w:val="00EF1D31"/>
    <w:rsid w:val="00EF3838"/>
    <w:rsid w:val="00EF4A2E"/>
    <w:rsid w:val="00EF5A27"/>
    <w:rsid w:val="00EF6044"/>
    <w:rsid w:val="00F00C40"/>
    <w:rsid w:val="00F00D9C"/>
    <w:rsid w:val="00F00FD9"/>
    <w:rsid w:val="00F01889"/>
    <w:rsid w:val="00F0242D"/>
    <w:rsid w:val="00F02C58"/>
    <w:rsid w:val="00F03DB0"/>
    <w:rsid w:val="00F0463D"/>
    <w:rsid w:val="00F070CD"/>
    <w:rsid w:val="00F10376"/>
    <w:rsid w:val="00F10B06"/>
    <w:rsid w:val="00F10B41"/>
    <w:rsid w:val="00F13BDA"/>
    <w:rsid w:val="00F17080"/>
    <w:rsid w:val="00F22196"/>
    <w:rsid w:val="00F2278B"/>
    <w:rsid w:val="00F22C93"/>
    <w:rsid w:val="00F22CC1"/>
    <w:rsid w:val="00F232A0"/>
    <w:rsid w:val="00F23E4C"/>
    <w:rsid w:val="00F27DDC"/>
    <w:rsid w:val="00F31249"/>
    <w:rsid w:val="00F354FB"/>
    <w:rsid w:val="00F37524"/>
    <w:rsid w:val="00F376C8"/>
    <w:rsid w:val="00F376F6"/>
    <w:rsid w:val="00F409B6"/>
    <w:rsid w:val="00F40B95"/>
    <w:rsid w:val="00F40C41"/>
    <w:rsid w:val="00F42ED4"/>
    <w:rsid w:val="00F44A0E"/>
    <w:rsid w:val="00F4564F"/>
    <w:rsid w:val="00F4573C"/>
    <w:rsid w:val="00F46452"/>
    <w:rsid w:val="00F504F7"/>
    <w:rsid w:val="00F5090B"/>
    <w:rsid w:val="00F50CAA"/>
    <w:rsid w:val="00F53513"/>
    <w:rsid w:val="00F53ABC"/>
    <w:rsid w:val="00F54BCE"/>
    <w:rsid w:val="00F54C5C"/>
    <w:rsid w:val="00F560DE"/>
    <w:rsid w:val="00F56C97"/>
    <w:rsid w:val="00F56CEC"/>
    <w:rsid w:val="00F57B99"/>
    <w:rsid w:val="00F615E2"/>
    <w:rsid w:val="00F6393F"/>
    <w:rsid w:val="00F6398F"/>
    <w:rsid w:val="00F63F68"/>
    <w:rsid w:val="00F654F9"/>
    <w:rsid w:val="00F65725"/>
    <w:rsid w:val="00F72E95"/>
    <w:rsid w:val="00F732E5"/>
    <w:rsid w:val="00F740FF"/>
    <w:rsid w:val="00F7542D"/>
    <w:rsid w:val="00F7549B"/>
    <w:rsid w:val="00F76140"/>
    <w:rsid w:val="00F76A17"/>
    <w:rsid w:val="00F8083A"/>
    <w:rsid w:val="00F81DA0"/>
    <w:rsid w:val="00F8294B"/>
    <w:rsid w:val="00F83ED1"/>
    <w:rsid w:val="00F8524D"/>
    <w:rsid w:val="00F86213"/>
    <w:rsid w:val="00F866ED"/>
    <w:rsid w:val="00F86A45"/>
    <w:rsid w:val="00F920E2"/>
    <w:rsid w:val="00F9279B"/>
    <w:rsid w:val="00F927DC"/>
    <w:rsid w:val="00F934DD"/>
    <w:rsid w:val="00F93F8F"/>
    <w:rsid w:val="00F951E6"/>
    <w:rsid w:val="00F95CCB"/>
    <w:rsid w:val="00F964FE"/>
    <w:rsid w:val="00F97892"/>
    <w:rsid w:val="00FA106E"/>
    <w:rsid w:val="00FA12E2"/>
    <w:rsid w:val="00FA1D64"/>
    <w:rsid w:val="00FA34BF"/>
    <w:rsid w:val="00FA43FF"/>
    <w:rsid w:val="00FA5E2A"/>
    <w:rsid w:val="00FA5F27"/>
    <w:rsid w:val="00FA70E4"/>
    <w:rsid w:val="00FA77D0"/>
    <w:rsid w:val="00FA7EF3"/>
    <w:rsid w:val="00FB35CD"/>
    <w:rsid w:val="00FB4C1A"/>
    <w:rsid w:val="00FB5829"/>
    <w:rsid w:val="00FB5AB4"/>
    <w:rsid w:val="00FB6EC9"/>
    <w:rsid w:val="00FB7863"/>
    <w:rsid w:val="00FC0C10"/>
    <w:rsid w:val="00FC1C74"/>
    <w:rsid w:val="00FC3A1A"/>
    <w:rsid w:val="00FC3FF4"/>
    <w:rsid w:val="00FC5EF5"/>
    <w:rsid w:val="00FC686D"/>
    <w:rsid w:val="00FC7246"/>
    <w:rsid w:val="00FC7430"/>
    <w:rsid w:val="00FC74F4"/>
    <w:rsid w:val="00FD18B0"/>
    <w:rsid w:val="00FD1B58"/>
    <w:rsid w:val="00FD3C26"/>
    <w:rsid w:val="00FD44DD"/>
    <w:rsid w:val="00FD7990"/>
    <w:rsid w:val="00FD7C85"/>
    <w:rsid w:val="00FE06F3"/>
    <w:rsid w:val="00FE09C4"/>
    <w:rsid w:val="00FE0C27"/>
    <w:rsid w:val="00FE171F"/>
    <w:rsid w:val="00FE2702"/>
    <w:rsid w:val="00FE2CCD"/>
    <w:rsid w:val="00FE4C6F"/>
    <w:rsid w:val="00FE65E1"/>
    <w:rsid w:val="00FE6C16"/>
    <w:rsid w:val="00FF37AF"/>
    <w:rsid w:val="0FE2059B"/>
    <w:rsid w:val="17610885"/>
    <w:rsid w:val="25EE59E7"/>
    <w:rsid w:val="284C6542"/>
    <w:rsid w:val="28751784"/>
    <w:rsid w:val="55F30730"/>
    <w:rsid w:val="56D5677C"/>
    <w:rsid w:val="6A691574"/>
    <w:rsid w:val="6CC242E5"/>
    <w:rsid w:val="71CD6D2A"/>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99" w:semiHidden="0"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nhideWhenUsed="0" w:uiPriority="0" w:semiHidden="0" w:name="List Number" w:locked="1"/>
    <w:lsdException w:uiPriority="99" w:name="List 2"/>
    <w:lsdException w:uiPriority="99" w:name="List 3"/>
    <w:lsdException w:unhideWhenUsed="0" w:uiPriority="0" w:semiHidden="0" w:name="List 4" w:locked="1"/>
    <w:lsdException w:unhideWhenUsed="0" w:uiPriority="0" w:semiHidden="0" w:name="List 5" w:locked="1"/>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nhideWhenUsed="0" w:uiPriority="0" w:semiHidden="0" w:name="Salutation" w:locked="1"/>
    <w:lsdException w:qFormat="1" w:unhideWhenUsed="0" w:uiPriority="99" w:semiHidden="0" w:name="Date"/>
    <w:lsdException w:unhideWhenUsed="0" w:uiPriority="0" w:semiHidden="0" w:name="Body Text First Indent" w:locked="1"/>
    <w:lsdException w:qFormat="1"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iPriority="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60" w:lineRule="exact"/>
      <w:ind w:firstLine="624"/>
      <w:jc w:val="both"/>
    </w:pPr>
    <w:rPr>
      <w:rFonts w:ascii="Times New Roman" w:hAnsi="Times New Roman" w:eastAsia="仿宋_GB2312" w:cs="Times New Roman"/>
      <w:kern w:val="2"/>
      <w:sz w:val="32"/>
      <w:lang w:val="en-US" w:eastAsia="zh-CN" w:bidi="ar-SA"/>
    </w:rPr>
  </w:style>
  <w:style w:type="paragraph" w:styleId="2">
    <w:name w:val="heading 1"/>
    <w:basedOn w:val="1"/>
    <w:next w:val="1"/>
    <w:link w:val="16"/>
    <w:qFormat/>
    <w:uiPriority w:val="99"/>
    <w:pPr>
      <w:keepNext/>
      <w:keepLines/>
      <w:ind w:firstLine="0"/>
      <w:jc w:val="center"/>
      <w:outlineLvl w:val="0"/>
    </w:pPr>
    <w:rPr>
      <w:rFonts w:eastAsia="宋体"/>
      <w:b/>
      <w:kern w:val="44"/>
      <w:sz w:val="44"/>
    </w:rPr>
  </w:style>
  <w:style w:type="paragraph" w:styleId="3">
    <w:name w:val="heading 2"/>
    <w:basedOn w:val="1"/>
    <w:next w:val="1"/>
    <w:link w:val="17"/>
    <w:qFormat/>
    <w:uiPriority w:val="99"/>
    <w:pPr>
      <w:keepNext/>
      <w:keepLines/>
      <w:ind w:firstLine="0"/>
      <w:jc w:val="center"/>
      <w:outlineLvl w:val="1"/>
    </w:pPr>
    <w:rPr>
      <w:rFonts w:ascii="Arial" w:hAnsi="Arial" w:eastAsia="楷体_GB2312"/>
    </w:rPr>
  </w:style>
  <w:style w:type="paragraph" w:styleId="4">
    <w:name w:val="heading 3"/>
    <w:basedOn w:val="1"/>
    <w:next w:val="5"/>
    <w:link w:val="18"/>
    <w:qFormat/>
    <w:uiPriority w:val="99"/>
    <w:pPr>
      <w:keepNext/>
      <w:keepLines/>
      <w:spacing w:before="260" w:after="260" w:line="416" w:lineRule="auto"/>
      <w:outlineLvl w:val="2"/>
    </w:pPr>
    <w:rPr>
      <w:b/>
    </w:rPr>
  </w:style>
  <w:style w:type="character" w:default="1" w:styleId="14">
    <w:name w:val="Default Paragraph Font"/>
    <w:semiHidden/>
    <w:unhideWhenUsed/>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99"/>
    <w:pPr>
      <w:ind w:firstLine="420"/>
    </w:pPr>
  </w:style>
  <w:style w:type="paragraph" w:styleId="6">
    <w:name w:val="Body Text Indent"/>
    <w:basedOn w:val="1"/>
    <w:link w:val="22"/>
    <w:qFormat/>
    <w:uiPriority w:val="99"/>
    <w:pPr>
      <w:ind w:left="1120" w:hanging="1120"/>
    </w:pPr>
  </w:style>
  <w:style w:type="paragraph" w:styleId="7">
    <w:name w:val="Date"/>
    <w:basedOn w:val="1"/>
    <w:next w:val="1"/>
    <w:link w:val="28"/>
    <w:qFormat/>
    <w:uiPriority w:val="99"/>
    <w:pPr>
      <w:ind w:left="100" w:leftChars="2500"/>
    </w:pPr>
  </w:style>
  <w:style w:type="paragraph" w:styleId="8">
    <w:name w:val="Balloon Text"/>
    <w:basedOn w:val="1"/>
    <w:link w:val="33"/>
    <w:semiHidden/>
    <w:unhideWhenUsed/>
    <w:qFormat/>
    <w:uiPriority w:val="99"/>
    <w:pPr>
      <w:spacing w:line="240" w:lineRule="auto"/>
    </w:pPr>
    <w:rPr>
      <w:sz w:val="18"/>
      <w:szCs w:val="18"/>
    </w:rPr>
  </w:style>
  <w:style w:type="paragraph" w:styleId="9">
    <w:name w:val="footer"/>
    <w:basedOn w:val="1"/>
    <w:link w:val="24"/>
    <w:qFormat/>
    <w:uiPriority w:val="99"/>
    <w:pPr>
      <w:tabs>
        <w:tab w:val="center" w:pos="4153"/>
        <w:tab w:val="right" w:pos="8306"/>
      </w:tabs>
      <w:snapToGrid w:val="0"/>
      <w:jc w:val="left"/>
    </w:pPr>
    <w:rPr>
      <w:sz w:val="18"/>
    </w:rPr>
  </w:style>
  <w:style w:type="paragraph" w:styleId="10">
    <w:name w:val="header"/>
    <w:basedOn w:val="1"/>
    <w:link w:val="23"/>
    <w:qFormat/>
    <w:uiPriority w:val="99"/>
    <w:pPr>
      <w:pBdr>
        <w:bottom w:val="single" w:color="auto" w:sz="6" w:space="1"/>
      </w:pBdr>
      <w:tabs>
        <w:tab w:val="center" w:pos="4153"/>
        <w:tab w:val="right" w:pos="8306"/>
      </w:tabs>
      <w:snapToGrid w:val="0"/>
      <w:jc w:val="center"/>
    </w:pPr>
    <w:rPr>
      <w:sz w:val="18"/>
    </w:rPr>
  </w:style>
  <w:style w:type="paragraph" w:styleId="11">
    <w:name w:val="Normal (Web)"/>
    <w:basedOn w:val="1"/>
    <w:qFormat/>
    <w:uiPriority w:val="99"/>
    <w:pPr>
      <w:widowControl/>
      <w:spacing w:before="100" w:beforeAutospacing="1" w:after="100" w:afterAutospacing="1" w:line="400" w:lineRule="atLeast"/>
      <w:ind w:firstLine="0"/>
      <w:jc w:val="left"/>
    </w:pPr>
    <w:rPr>
      <w:rFonts w:ascii="宋体" w:hAnsi="宋体" w:eastAsia="宋体"/>
      <w:kern w:val="0"/>
      <w:sz w:val="24"/>
      <w:szCs w:val="24"/>
    </w:rPr>
  </w:style>
  <w:style w:type="paragraph" w:styleId="12">
    <w:name w:val="Body Text First Indent 2"/>
    <w:basedOn w:val="6"/>
    <w:link w:val="36"/>
    <w:semiHidden/>
    <w:unhideWhenUsed/>
    <w:qFormat/>
    <w:uiPriority w:val="99"/>
    <w:pPr>
      <w:spacing w:after="120"/>
      <w:ind w:left="420" w:leftChars="200" w:firstLine="420" w:firstLineChars="200"/>
    </w:pPr>
  </w:style>
  <w:style w:type="character" w:styleId="15">
    <w:name w:val="page number"/>
    <w:basedOn w:val="14"/>
    <w:qFormat/>
    <w:uiPriority w:val="99"/>
    <w:rPr>
      <w:rFonts w:cs="Times New Roman"/>
    </w:rPr>
  </w:style>
  <w:style w:type="character" w:customStyle="1" w:styleId="16">
    <w:name w:val="标题 1 Char"/>
    <w:basedOn w:val="14"/>
    <w:link w:val="2"/>
    <w:qFormat/>
    <w:uiPriority w:val="9"/>
    <w:rPr>
      <w:rFonts w:eastAsia="仿宋_GB2312"/>
      <w:b/>
      <w:bCs/>
      <w:kern w:val="44"/>
      <w:sz w:val="44"/>
      <w:szCs w:val="44"/>
    </w:rPr>
  </w:style>
  <w:style w:type="character" w:customStyle="1" w:styleId="17">
    <w:name w:val="标题 2 Char"/>
    <w:basedOn w:val="14"/>
    <w:link w:val="3"/>
    <w:semiHidden/>
    <w:qFormat/>
    <w:uiPriority w:val="9"/>
    <w:rPr>
      <w:rFonts w:asciiTheme="majorHAnsi" w:hAnsiTheme="majorHAnsi" w:eastAsiaTheme="majorEastAsia" w:cstheme="majorBidi"/>
      <w:b/>
      <w:bCs/>
      <w:sz w:val="32"/>
      <w:szCs w:val="32"/>
    </w:rPr>
  </w:style>
  <w:style w:type="character" w:customStyle="1" w:styleId="18">
    <w:name w:val="标题 3 Char"/>
    <w:basedOn w:val="14"/>
    <w:link w:val="4"/>
    <w:semiHidden/>
    <w:qFormat/>
    <w:uiPriority w:val="9"/>
    <w:rPr>
      <w:rFonts w:eastAsia="仿宋_GB2312"/>
      <w:b/>
      <w:bCs/>
      <w:sz w:val="32"/>
      <w:szCs w:val="32"/>
    </w:rPr>
  </w:style>
  <w:style w:type="paragraph" w:customStyle="1" w:styleId="19">
    <w:name w:val="抄送栏"/>
    <w:basedOn w:val="1"/>
    <w:qFormat/>
    <w:uiPriority w:val="99"/>
    <w:pPr>
      <w:widowControl/>
      <w:autoSpaceDE w:val="0"/>
      <w:autoSpaceDN w:val="0"/>
      <w:adjustRightInd w:val="0"/>
      <w:spacing w:line="454" w:lineRule="atLeast"/>
      <w:ind w:left="851" w:hanging="851"/>
    </w:pPr>
    <w:rPr>
      <w:rFonts w:ascii="溘冼_GB2312" w:eastAsia="溘冼_GB2312"/>
      <w:kern w:val="0"/>
      <w:sz w:val="28"/>
    </w:rPr>
  </w:style>
  <w:style w:type="paragraph" w:customStyle="1" w:styleId="20">
    <w:name w:val="印数"/>
    <w:basedOn w:val="21"/>
    <w:qFormat/>
    <w:uiPriority w:val="99"/>
    <w:pPr>
      <w:tabs>
        <w:tab w:val="left" w:pos="284"/>
        <w:tab w:val="left" w:pos="5387"/>
      </w:tabs>
      <w:jc w:val="right"/>
    </w:pPr>
  </w:style>
  <w:style w:type="paragraph" w:customStyle="1" w:styleId="21">
    <w:name w:val="印发栏"/>
    <w:basedOn w:val="1"/>
    <w:qFormat/>
    <w:uiPriority w:val="99"/>
    <w:pPr>
      <w:widowControl/>
      <w:tabs>
        <w:tab w:val="left" w:pos="284"/>
        <w:tab w:val="left" w:pos="5387"/>
      </w:tabs>
      <w:autoSpaceDE w:val="0"/>
      <w:autoSpaceDN w:val="0"/>
      <w:adjustRightInd w:val="0"/>
      <w:spacing w:line="397" w:lineRule="atLeast"/>
      <w:ind w:firstLine="0"/>
      <w:jc w:val="left"/>
    </w:pPr>
    <w:rPr>
      <w:rFonts w:ascii="溘冼_GB2312" w:eastAsia="溘冼_GB2312"/>
      <w:kern w:val="0"/>
      <w:sz w:val="28"/>
    </w:rPr>
  </w:style>
  <w:style w:type="character" w:customStyle="1" w:styleId="22">
    <w:name w:val="正文文本缩进 Char"/>
    <w:basedOn w:val="14"/>
    <w:link w:val="6"/>
    <w:semiHidden/>
    <w:qFormat/>
    <w:uiPriority w:val="99"/>
    <w:rPr>
      <w:rFonts w:eastAsia="仿宋_GB2312"/>
      <w:sz w:val="32"/>
      <w:szCs w:val="20"/>
    </w:rPr>
  </w:style>
  <w:style w:type="character" w:customStyle="1" w:styleId="23">
    <w:name w:val="页眉 Char"/>
    <w:basedOn w:val="14"/>
    <w:link w:val="10"/>
    <w:semiHidden/>
    <w:qFormat/>
    <w:uiPriority w:val="99"/>
    <w:rPr>
      <w:rFonts w:eastAsia="仿宋_GB2312"/>
      <w:sz w:val="18"/>
      <w:szCs w:val="18"/>
    </w:rPr>
  </w:style>
  <w:style w:type="character" w:customStyle="1" w:styleId="24">
    <w:name w:val="页脚 Char"/>
    <w:basedOn w:val="14"/>
    <w:link w:val="9"/>
    <w:qFormat/>
    <w:uiPriority w:val="99"/>
    <w:rPr>
      <w:rFonts w:eastAsia="仿宋_GB2312"/>
      <w:sz w:val="18"/>
      <w:szCs w:val="18"/>
    </w:rPr>
  </w:style>
  <w:style w:type="paragraph" w:customStyle="1" w:styleId="25">
    <w:name w:val="主题词"/>
    <w:basedOn w:val="1"/>
    <w:qFormat/>
    <w:uiPriority w:val="99"/>
    <w:pPr>
      <w:widowControl/>
      <w:autoSpaceDE w:val="0"/>
      <w:autoSpaceDN w:val="0"/>
      <w:adjustRightInd w:val="0"/>
      <w:spacing w:line="240" w:lineRule="atLeast"/>
      <w:ind w:firstLine="0"/>
      <w:jc w:val="left"/>
    </w:pPr>
    <w:rPr>
      <w:rFonts w:ascii="冼极" w:eastAsia="冼极"/>
      <w:b/>
      <w:kern w:val="0"/>
    </w:rPr>
  </w:style>
  <w:style w:type="paragraph" w:customStyle="1" w:styleId="26">
    <w:name w:val="线型"/>
    <w:basedOn w:val="1"/>
    <w:qFormat/>
    <w:uiPriority w:val="99"/>
    <w:pPr>
      <w:widowControl/>
      <w:autoSpaceDE w:val="0"/>
      <w:autoSpaceDN w:val="0"/>
      <w:adjustRightInd w:val="0"/>
      <w:spacing w:line="240" w:lineRule="auto"/>
      <w:ind w:firstLine="0"/>
      <w:jc w:val="center"/>
    </w:pPr>
    <w:rPr>
      <w:rFonts w:ascii="溘冼_GB2312" w:eastAsia="溘冼_GB2312"/>
      <w:kern w:val="0"/>
      <w:sz w:val="21"/>
    </w:rPr>
  </w:style>
  <w:style w:type="paragraph" w:customStyle="1" w:styleId="27">
    <w:name w:val="主送单位"/>
    <w:basedOn w:val="1"/>
    <w:qFormat/>
    <w:uiPriority w:val="0"/>
    <w:pPr>
      <w:widowControl/>
      <w:autoSpaceDE w:val="0"/>
      <w:autoSpaceDN w:val="0"/>
      <w:adjustRightInd w:val="0"/>
      <w:ind w:firstLine="0"/>
    </w:pPr>
    <w:rPr>
      <w:rFonts w:ascii="溘冼_GB2312" w:eastAsia="溘冼_GB2312"/>
      <w:spacing w:val="-4"/>
      <w:kern w:val="0"/>
    </w:rPr>
  </w:style>
  <w:style w:type="character" w:customStyle="1" w:styleId="28">
    <w:name w:val="日期 Char"/>
    <w:basedOn w:val="14"/>
    <w:link w:val="7"/>
    <w:semiHidden/>
    <w:qFormat/>
    <w:uiPriority w:val="99"/>
    <w:rPr>
      <w:rFonts w:eastAsia="仿宋_GB2312"/>
      <w:sz w:val="32"/>
      <w:szCs w:val="20"/>
    </w:rPr>
  </w:style>
  <w:style w:type="character" w:customStyle="1" w:styleId="29">
    <w:name w:val="标题2 Char"/>
    <w:link w:val="30"/>
    <w:qFormat/>
    <w:locked/>
    <w:uiPriority w:val="99"/>
    <w:rPr>
      <w:rFonts w:eastAsia="方正楷体_GBK"/>
    </w:rPr>
  </w:style>
  <w:style w:type="paragraph" w:customStyle="1" w:styleId="30">
    <w:name w:val="标题2"/>
    <w:basedOn w:val="1"/>
    <w:next w:val="1"/>
    <w:link w:val="29"/>
    <w:qFormat/>
    <w:uiPriority w:val="99"/>
    <w:pPr>
      <w:autoSpaceDE w:val="0"/>
      <w:autoSpaceDN w:val="0"/>
      <w:snapToGrid w:val="0"/>
      <w:spacing w:line="590" w:lineRule="atLeast"/>
      <w:ind w:firstLine="0"/>
      <w:jc w:val="center"/>
    </w:pPr>
    <w:rPr>
      <w:rFonts w:eastAsia="方正楷体_GBK"/>
      <w:kern w:val="0"/>
      <w:sz w:val="20"/>
    </w:rPr>
  </w:style>
  <w:style w:type="paragraph" w:customStyle="1" w:styleId="31">
    <w:name w:val="标题3"/>
    <w:basedOn w:val="1"/>
    <w:next w:val="1"/>
    <w:qFormat/>
    <w:uiPriority w:val="99"/>
    <w:pPr>
      <w:autoSpaceDE w:val="0"/>
      <w:autoSpaceDN w:val="0"/>
      <w:snapToGrid w:val="0"/>
      <w:spacing w:line="590" w:lineRule="atLeast"/>
    </w:pPr>
    <w:rPr>
      <w:rFonts w:eastAsia="方正黑体_GBK"/>
      <w:kern w:val="0"/>
    </w:rPr>
  </w:style>
  <w:style w:type="paragraph" w:customStyle="1" w:styleId="32">
    <w:name w:val="cjk"/>
    <w:basedOn w:val="1"/>
    <w:qFormat/>
    <w:uiPriority w:val="0"/>
    <w:pPr>
      <w:widowControl/>
      <w:spacing w:before="100" w:beforeAutospacing="1" w:after="100" w:afterAutospacing="1" w:line="240" w:lineRule="auto"/>
      <w:ind w:firstLine="0"/>
      <w:jc w:val="left"/>
    </w:pPr>
    <w:rPr>
      <w:rFonts w:ascii="宋体" w:hAnsi="宋体" w:eastAsia="宋体" w:cs="宋体"/>
      <w:kern w:val="0"/>
      <w:sz w:val="24"/>
      <w:szCs w:val="24"/>
    </w:rPr>
  </w:style>
  <w:style w:type="character" w:customStyle="1" w:styleId="33">
    <w:name w:val="批注框文本 Char"/>
    <w:basedOn w:val="14"/>
    <w:link w:val="8"/>
    <w:semiHidden/>
    <w:qFormat/>
    <w:uiPriority w:val="99"/>
    <w:rPr>
      <w:rFonts w:eastAsia="仿宋_GB2312"/>
      <w:sz w:val="18"/>
      <w:szCs w:val="18"/>
    </w:rPr>
  </w:style>
  <w:style w:type="paragraph" w:customStyle="1" w:styleId="34">
    <w:name w:val="修订1"/>
    <w:hidden/>
    <w:semiHidden/>
    <w:qFormat/>
    <w:uiPriority w:val="99"/>
    <w:rPr>
      <w:rFonts w:ascii="Times New Roman" w:hAnsi="Times New Roman" w:eastAsia="仿宋_GB2312" w:cs="Times New Roman"/>
      <w:kern w:val="2"/>
      <w:sz w:val="32"/>
      <w:lang w:val="en-US" w:eastAsia="zh-CN" w:bidi="ar-SA"/>
    </w:rPr>
  </w:style>
  <w:style w:type="paragraph" w:customStyle="1" w:styleId="35">
    <w:name w:val="Char"/>
    <w:basedOn w:val="1"/>
    <w:qFormat/>
    <w:uiPriority w:val="0"/>
    <w:pPr>
      <w:tabs>
        <w:tab w:val="left" w:pos="425"/>
      </w:tabs>
      <w:spacing w:line="240" w:lineRule="auto"/>
      <w:ind w:left="425" w:hanging="425"/>
    </w:pPr>
    <w:rPr>
      <w:rFonts w:eastAsia="宋体"/>
      <w:sz w:val="21"/>
    </w:rPr>
  </w:style>
  <w:style w:type="character" w:customStyle="1" w:styleId="36">
    <w:name w:val="正文首行缩进 2 Char"/>
    <w:basedOn w:val="22"/>
    <w:link w:val="12"/>
    <w:semiHidden/>
    <w:uiPriority w:val="99"/>
    <w:rPr>
      <w:kern w:val="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customXml" Target="../customXml/item1.xml"/><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Application%20Data\Microsoft\Templates\&#36830;&#23433;&#30417;&#12308;2018&#12309;&#21495;.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5306996-6440-4E17-A10C-762D0895B116}">
  <ds:schemaRefs/>
</ds:datastoreItem>
</file>

<file path=docProps/app.xml><?xml version="1.0" encoding="utf-8"?>
<Properties xmlns="http://schemas.openxmlformats.org/officeDocument/2006/extended-properties" xmlns:vt="http://schemas.openxmlformats.org/officeDocument/2006/docPropsVTypes">
  <Template>连安监〔2018〕号</Template>
  <Company>sy27</Company>
  <Pages>22</Pages>
  <Words>9530</Words>
  <Characters>10041</Characters>
  <Lines>72</Lines>
  <Paragraphs>20</Paragraphs>
  <TotalTime>13</TotalTime>
  <ScaleCrop>false</ScaleCrop>
  <LinksUpToDate>false</LinksUpToDate>
  <CharactersWithSpaces>10045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2022-10-17T02:16:00Z</dcterms:created>
  <dc:creator>User</dc:creator>
  <dc:description>该文件附带有冀慎华编写的反宏病毒程序(v33).</dc:description>
  <cp:lastModifiedBy>Administrator</cp:lastModifiedBy>
  <cp:lastPrinted>2022-06-07T09:02:00Z</cp:lastPrinted>
  <dcterms:modified xsi:type="dcterms:W3CDTF">2022-10-17T02:26:34Z</dcterms:modified>
  <dc:title>连政发〔2000〕  号</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KSOSaveFontToCloudKey">
    <vt:lpwstr>253710394_cloud</vt:lpwstr>
  </property>
  <property fmtid="{D5CDD505-2E9C-101B-9397-08002B2CF9AE}" pid="4" name="ICV">
    <vt:lpwstr>901EB878FB764218AE97A7CC1EED7BB6</vt:lpwstr>
  </property>
</Properties>
</file>