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C6" w:rsidRPr="00CF2DC0" w:rsidRDefault="00CF2DC0" w:rsidP="00CF2DC0">
      <w:pPr>
        <w:jc w:val="center"/>
        <w:rPr>
          <w:rFonts w:ascii="仿宋" w:eastAsia="仿宋" w:hAnsi="仿宋" w:hint="eastAsia"/>
          <w:b/>
          <w:bCs/>
          <w:color w:val="DA1609"/>
          <w:sz w:val="32"/>
          <w:szCs w:val="32"/>
          <w:shd w:val="clear" w:color="auto" w:fill="FFFFFF"/>
        </w:rPr>
      </w:pPr>
      <w:r w:rsidRPr="00CF2DC0">
        <w:rPr>
          <w:rFonts w:ascii="仿宋" w:eastAsia="仿宋" w:hAnsi="仿宋" w:hint="eastAsia"/>
          <w:b/>
          <w:bCs/>
          <w:color w:val="DA1609"/>
          <w:sz w:val="32"/>
          <w:szCs w:val="32"/>
          <w:shd w:val="clear" w:color="auto" w:fill="FFFFFF"/>
        </w:rPr>
        <w:t>成都美利家具有限公司“2017</w:t>
      </w:r>
      <w:r w:rsidRPr="00CF2DC0">
        <w:rPr>
          <w:rFonts w:ascii="宋体" w:eastAsia="宋体" w:hAnsi="宋体" w:cs="宋体" w:hint="eastAsia"/>
          <w:b/>
          <w:bCs/>
          <w:color w:val="DA1609"/>
          <w:sz w:val="32"/>
          <w:szCs w:val="32"/>
          <w:shd w:val="clear" w:color="auto" w:fill="FFFFFF"/>
        </w:rPr>
        <w:t>•</w:t>
      </w:r>
      <w:r w:rsidRPr="00CF2DC0">
        <w:rPr>
          <w:rFonts w:ascii="仿宋" w:eastAsia="仿宋" w:hAnsi="仿宋" w:hint="eastAsia"/>
          <w:b/>
          <w:bCs/>
          <w:color w:val="DA1609"/>
          <w:sz w:val="32"/>
          <w:szCs w:val="32"/>
          <w:shd w:val="clear" w:color="auto" w:fill="FFFFFF"/>
        </w:rPr>
        <w:t>8</w:t>
      </w:r>
      <w:r w:rsidRPr="00CF2DC0">
        <w:rPr>
          <w:rFonts w:ascii="宋体" w:eastAsia="宋体" w:hAnsi="宋体" w:cs="宋体" w:hint="eastAsia"/>
          <w:b/>
          <w:bCs/>
          <w:color w:val="DA1609"/>
          <w:sz w:val="32"/>
          <w:szCs w:val="32"/>
          <w:shd w:val="clear" w:color="auto" w:fill="FFFFFF"/>
        </w:rPr>
        <w:t>•</w:t>
      </w:r>
      <w:r w:rsidRPr="00CF2DC0">
        <w:rPr>
          <w:rFonts w:ascii="仿宋" w:eastAsia="仿宋" w:hAnsi="仿宋" w:hint="eastAsia"/>
          <w:b/>
          <w:bCs/>
          <w:color w:val="DA1609"/>
          <w:sz w:val="32"/>
          <w:szCs w:val="32"/>
          <w:shd w:val="clear" w:color="auto" w:fill="FFFFFF"/>
        </w:rPr>
        <w:t>22”触电事故调查报告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2017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8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22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11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时左右，成</w:t>
      </w:r>
      <w:bookmarkStart w:id="0" w:name="_GoBack"/>
      <w:bookmarkEnd w:id="0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都美利家具有限公司发生一起触电事故（以下简称“事故”），造成一人死亡。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2017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8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28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，彭州市人民政府依据《安全生产法》、《生产安全事故报告和调查处理条例》，牵头成立了以市安监局局长曾正泽为组长，市安监局副局长杨继刚为副组长，市监察局、市公安局、市总工会、市综合执法局、市安监局等部门相关人员为成员的事故调查组，并邀请彭州市人民检察院派员参加事故调查。通过现场勘查、对相关人员的调查取证，查明了事故原因，认定了事故责任，提出了整改建议。现将有关情况报告如下：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一、事故单位相关情况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成都美利家具有限公司，成立于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2013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11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11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日，位于彭州市丹</w:t>
      </w:r>
      <w:proofErr w:type="gramStart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景山镇集埝</w:t>
      </w:r>
      <w:proofErr w:type="gramEnd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村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5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7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组。法定代表人：邓明国；注册资本：（人民币）伍佰万元；经营范围：板式家具、沙发、床垫、木门生产；家具配件、塑料制品的生产、销售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[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依法须经批准的项目，经相关部门批准后方可开展经营活动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]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二、事故发生的经过、事故救援及善后处理情况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（一）事故经过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2017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8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22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8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时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30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分左右，成都美利家具有限公司临时聘请的电工周良汉（死者）来到公司上班，为该公司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3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号车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间新增</w:t>
      </w:r>
      <w:proofErr w:type="gramStart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漆房废气</w:t>
      </w:r>
      <w:proofErr w:type="gramEnd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处理设备提供控制箱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220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伏电源；公司安排办公室工作人员</w:t>
      </w:r>
      <w:proofErr w:type="gramStart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古明妃协助</w:t>
      </w:r>
      <w:proofErr w:type="gramEnd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工作，当天上午周良汉（死者）在车间作业时，从漆房（约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2.2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米高）侧面上房顶，然后在房顶架好人字梯（铝合金材质）从人字梯上去接电源线，作业平台距地约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5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米左右，据现场勘查，当天周良汉（死者）将脚上穿的拖鞋脱下，放在人字梯旁边，赤脚爬上</w:t>
      </w:r>
      <w:proofErr w:type="gramStart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铝合人字梯进行</w:t>
      </w:r>
      <w:proofErr w:type="gramEnd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带电作业，在连接电源线过程中，由于未穿戴绝缘防护用品，导致作业过程中电源线与周良汉（死者）的左手虎口接触触电，由于周良汉（死者）高处作业时也未佩戴安全带，致使周良汉（死者）从高处坠落，</w:t>
      </w:r>
      <w:proofErr w:type="gramStart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颠落在漆房与</w:t>
      </w:r>
      <w:proofErr w:type="gramEnd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厂房墙脚之间的缝隙之间。直到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14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时过公司办公室员工古</w:t>
      </w:r>
      <w:proofErr w:type="gramStart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明妃一直</w:t>
      </w:r>
      <w:proofErr w:type="gramEnd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未见到周良汉（死者），于是叫上公司</w:t>
      </w:r>
      <w:proofErr w:type="gramStart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料材库管理</w:t>
      </w:r>
      <w:proofErr w:type="gramEnd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人员郭梅梅一起寻找，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15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时左右，公司材料库管理员郭梅梅发现周良汉（死者）倒在漆房外侧与厂房隔墙内侧的夹缝中。由于当天周良汉（死者）一人在车间作业，当事故发生时无人知晓。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（二）事故应急救援情况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发现周良汉（死者）后，现场人员立即拨打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120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，随后彭州市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120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到达现场，经诊断确定周良汉（死者）已经死亡。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接到事故报告后市安监局、市公安局和丹</w:t>
      </w:r>
      <w:proofErr w:type="gramStart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景山镇</w:t>
      </w:r>
      <w:proofErr w:type="gramEnd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人民政府等相关单位</w:t>
      </w:r>
      <w:proofErr w:type="gramStart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人员第</w:t>
      </w:r>
      <w:proofErr w:type="gramEnd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一时间赶到事故现场对事故进行处置。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（三）事故造成的人员伤亡和善后处理情况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1.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人员伤亡情况。死者：周良汉，男，汉族，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56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岁，四川省彭州市天彭镇锦阳社区人，身份证号：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510126196107073610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，电工证号：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T510126196107073610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，有效期：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2015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5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8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日至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2021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5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8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日。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2.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善后处理情况。事故发生后，市政府相关部门、丹</w:t>
      </w:r>
      <w:proofErr w:type="gramStart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景山镇</w:t>
      </w:r>
      <w:proofErr w:type="gramEnd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政府立即协助和督促成都美利家具有限公司开展事故善后处置工作，截至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2017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8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22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日，死者家属已与成都美利家具有限公司达成《赔偿协议》，并</w:t>
      </w:r>
      <w:proofErr w:type="gramStart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签定</w:t>
      </w:r>
      <w:proofErr w:type="gramEnd"/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《赔偿协议》获得赔偿。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三、事故发生的原因和事故性质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（一）直接原因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成都美利家具有限公司临时聘请的电工周良汉（死者）在接电源作业过程中，赤脚带电作业，未穿戴绝缘防护用品，违规操作，且在高处作业时未佩戴安全带，是造成周良汉（死者）触电死亡的直接原因。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（二）间接原因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成都美利家具有限公司对电工周良汉（死者）高处作业未采取有效现场监管措施；未及时发现并消除周良汉（死者）违规作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业的行为；对进厂作业人员未进行安全教育和安全交底，是造成该起事故的间接原因。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（三）事故性质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一般生产安全责任事故。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四、对事故单位及其有关人员的责任认定及处理建议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（一）对有关人员的责任认定及处理建议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周良汉（死者）安全意识淡薄，在接电作业过程中，未穿戴绝缘防护用品和高处作业的安全保护用品，违规作业，造成事故的发生。鉴于其已在事故中死亡，建议对其不再追究责任。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（二）对责任单位的责任认定及处理建议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成都美利家具有限公司，对高处作业未采取有效现场监管措施，未及时发现并消除周良汉（死者）违规作业的行为，其行为违反了《四川省安全生产条例》第十五条的规定，是此次事故的责任单位，依据《四川省安全生产条例》第七十八条第一款第二项的规定，建议给予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10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万元的罚款。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五、事故的防范和整改措施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（一）成都美利家具有限公司应从此次事故中深刻吸取教训，引以为戒，举一反三，从思想上提高认识，落实企业安全生产主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体责任，完善安全生产条件，加强对外来作业人员的教育和安全监管，提高本单位安全生产的保障水平。</w:t>
      </w:r>
    </w:p>
    <w:p w:rsidR="00CF2DC0" w:rsidRPr="00CF2DC0" w:rsidRDefault="00CF2DC0" w:rsidP="00CF2DC0">
      <w:pPr>
        <w:widowControl/>
        <w:spacing w:line="700" w:lineRule="atLeast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（二）严格安全生产教育培训。加强对作业人员的安全教育培训工作，提高作业人员的安全意识。</w:t>
      </w:r>
    </w:p>
    <w:p w:rsidR="00CF2DC0" w:rsidRPr="00CF2DC0" w:rsidRDefault="00CF2DC0" w:rsidP="00CF2DC0">
      <w:pPr>
        <w:widowControl/>
        <w:spacing w:line="700" w:lineRule="atLeast"/>
        <w:ind w:firstLine="512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2017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11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Pr="00CF2DC0"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22</w:t>
      </w:r>
      <w:r w:rsidRPr="00CF2D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</w:p>
    <w:p w:rsidR="00CF2DC0" w:rsidRPr="00CF2DC0" w:rsidRDefault="00CF2DC0">
      <w:pPr>
        <w:rPr>
          <w:rFonts w:ascii="仿宋" w:eastAsia="仿宋" w:hAnsi="仿宋"/>
          <w:sz w:val="30"/>
          <w:szCs w:val="30"/>
        </w:rPr>
      </w:pPr>
    </w:p>
    <w:sectPr w:rsidR="00CF2DC0" w:rsidRPr="00CF2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26"/>
    <w:rsid w:val="00044926"/>
    <w:rsid w:val="004013C6"/>
    <w:rsid w:val="00C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290</Words>
  <Characters>1656</Characters>
  <Application>Microsoft Office Word</Application>
  <DocSecurity>0</DocSecurity>
  <Lines>13</Lines>
  <Paragraphs>3</Paragraphs>
  <ScaleCrop>false</ScaleCrop>
  <Company>微软中国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2021-03-05T07:20:00Z</dcterms:created>
  <dcterms:modified xsi:type="dcterms:W3CDTF">2021-03-05T07:21:00Z</dcterms:modified>
</cp:coreProperties>
</file>