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ind w:leftChars="0" w:right="0" w:rightChars="0"/>
        <w:jc w:val="center"/>
        <w:textAlignment w:val="auto"/>
        <w:rPr>
          <w:rFonts w:hint="eastAsia" w:ascii="仿宋" w:hAnsi="仿宋" w:eastAsia="仿宋" w:cs="仿宋"/>
          <w:b/>
          <w:bCs/>
          <w:i w:val="0"/>
          <w:iCs w:val="0"/>
          <w:caps w:val="0"/>
          <w:color w:val="333333"/>
          <w:spacing w:val="0"/>
          <w:sz w:val="32"/>
          <w:szCs w:val="32"/>
          <w:shd w:val="clear" w:fill="FFFFFF"/>
        </w:rPr>
      </w:pPr>
      <w:r>
        <w:rPr>
          <w:rFonts w:hint="eastAsia" w:ascii="仿宋" w:hAnsi="仿宋" w:eastAsia="仿宋" w:cs="仿宋"/>
          <w:b/>
          <w:bCs/>
          <w:i w:val="0"/>
          <w:iCs w:val="0"/>
          <w:caps w:val="0"/>
          <w:color w:val="333333"/>
          <w:spacing w:val="0"/>
          <w:sz w:val="32"/>
          <w:szCs w:val="32"/>
          <w:shd w:val="clear" w:fill="FFFFFF"/>
        </w:rPr>
        <w:t>市场监管总局办公厅关于开展电梯鼓式制动器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ind w:leftChars="0" w:right="0" w:rightChars="0"/>
        <w:jc w:val="center"/>
        <w:textAlignment w:val="auto"/>
        <w:rPr>
          <w:rFonts w:hint="eastAsia" w:ascii="仿宋" w:hAnsi="仿宋" w:eastAsia="仿宋" w:cs="仿宋"/>
          <w:b/>
          <w:bCs/>
          <w:color w:val="333333"/>
          <w:sz w:val="32"/>
          <w:szCs w:val="32"/>
        </w:rPr>
      </w:pPr>
      <w:r>
        <w:rPr>
          <w:rFonts w:hint="eastAsia" w:ascii="仿宋" w:hAnsi="仿宋" w:eastAsia="仿宋" w:cs="仿宋"/>
          <w:b/>
          <w:bCs/>
          <w:i w:val="0"/>
          <w:iCs w:val="0"/>
          <w:caps w:val="0"/>
          <w:color w:val="333333"/>
          <w:spacing w:val="0"/>
          <w:sz w:val="32"/>
          <w:szCs w:val="32"/>
          <w:shd w:val="clear" w:fill="FFFFFF"/>
        </w:rPr>
        <w:t>安全隐患专项排查治理的通知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ind w:leftChars="0" w:right="0" w:rightChars="0"/>
        <w:jc w:val="center"/>
        <w:textAlignment w:val="auto"/>
        <w:rPr>
          <w:rFonts w:hint="eastAsia" w:ascii="仿宋" w:hAnsi="仿宋" w:eastAsia="仿宋" w:cs="仿宋"/>
          <w:color w:val="333333"/>
          <w:sz w:val="30"/>
          <w:szCs w:val="30"/>
        </w:rPr>
      </w:pPr>
      <w:r>
        <w:rPr>
          <w:rFonts w:hint="eastAsia" w:ascii="仿宋" w:hAnsi="仿宋" w:eastAsia="仿宋" w:cs="仿宋"/>
          <w:i w:val="0"/>
          <w:iCs w:val="0"/>
          <w:caps w:val="0"/>
          <w:color w:val="333333"/>
          <w:spacing w:val="0"/>
          <w:sz w:val="30"/>
          <w:szCs w:val="30"/>
          <w:shd w:val="clear" w:fill="FFFFFF"/>
        </w:rPr>
        <w:t>（市监特设函〔2021〕564号）</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jc w:val="center"/>
        <w:textAlignment w:val="auto"/>
        <w:rPr>
          <w:rFonts w:hint="eastAsia" w:ascii="仿宋" w:hAnsi="仿宋" w:eastAsia="仿宋" w:cs="仿宋"/>
          <w:sz w:val="30"/>
          <w:szCs w:val="30"/>
        </w:rPr>
      </w:pPr>
      <w:r>
        <w:rPr>
          <w:rFonts w:hint="eastAsia" w:ascii="仿宋" w:hAnsi="仿宋" w:eastAsia="仿宋" w:cs="仿宋"/>
          <w:i w:val="0"/>
          <w:iCs w:val="0"/>
          <w:caps w:val="0"/>
          <w:color w:val="333333"/>
          <w:spacing w:val="0"/>
          <w:sz w:val="30"/>
          <w:szCs w:val="30"/>
          <w:shd w:val="clear" w:fill="FFFFFF"/>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jc w:val="both"/>
        <w:textAlignment w:val="auto"/>
        <w:rPr>
          <w:rFonts w:hint="eastAsia" w:ascii="仿宋" w:hAnsi="仿宋" w:eastAsia="仿宋" w:cs="仿宋"/>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各省、自治区、直辖市和新疆生产建设兵团市场监管局（厅、委），有关单位：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jc w:val="both"/>
        <w:textAlignment w:val="auto"/>
        <w:rPr>
          <w:rFonts w:hint="eastAsia" w:ascii="仿宋" w:hAnsi="仿宋" w:eastAsia="仿宋" w:cs="仿宋"/>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　　近期，全国发生多起电梯制动器失效引发的事故和故障，主要原因是柱塞式电磁铁型式的杠杆鼓式制动器（以下简称鼓式制动器，典型图例见附件1）电磁铁未及时拆解保养、松闸顶杆选材不当，引发制动器卡阻失效。为防止和减少此类事故发生，保障人民群众安心乘梯，市场监管总局决定开展电梯鼓式制动器安全隐患专项排查治理。现将有关事项通知如下：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jc w:val="both"/>
        <w:textAlignment w:val="auto"/>
        <w:rPr>
          <w:rFonts w:hint="eastAsia" w:ascii="仿宋" w:hAnsi="仿宋" w:eastAsia="仿宋" w:cs="仿宋"/>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　　一、工作目标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jc w:val="both"/>
        <w:textAlignment w:val="auto"/>
        <w:rPr>
          <w:rFonts w:hint="eastAsia" w:ascii="仿宋" w:hAnsi="仿宋" w:eastAsia="仿宋" w:cs="仿宋"/>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　　切实落实电梯使用单位安全主体责任，强化电梯制造单位质量安全主体责任和跟踪指导责任，提高电梯维保单位维护保养质量，消除鼓式制动器安全隐患，大力提升在用电梯质量安全水平，保障人民群众安心乘梯。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jc w:val="both"/>
        <w:textAlignment w:val="auto"/>
        <w:rPr>
          <w:rFonts w:hint="eastAsia" w:ascii="仿宋" w:hAnsi="仿宋" w:eastAsia="仿宋" w:cs="仿宋"/>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　　二、工作内容和工作方式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jc w:val="both"/>
        <w:textAlignment w:val="auto"/>
        <w:rPr>
          <w:rFonts w:hint="eastAsia" w:ascii="仿宋" w:hAnsi="仿宋" w:eastAsia="仿宋" w:cs="仿宋"/>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　　（一）工作内容。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jc w:val="both"/>
        <w:textAlignment w:val="auto"/>
        <w:rPr>
          <w:rFonts w:hint="eastAsia" w:ascii="仿宋" w:hAnsi="仿宋" w:eastAsia="仿宋" w:cs="仿宋"/>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　　1.拆解保养鼓式制动器电磁铁。针对鼓式制动器电磁铁在长期工作过程中内部会产生油泥、铁屑等异物，易造成制动器卡阻的问题，要按照《电梯维护保养规则》（TSG T5002—2017）相关规定，对鼓式制动器电磁铁逐一进行一次拆解保养。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jc w:val="both"/>
        <w:textAlignment w:val="auto"/>
        <w:rPr>
          <w:rFonts w:hint="eastAsia" w:ascii="仿宋" w:hAnsi="仿宋" w:eastAsia="仿宋" w:cs="仿宋"/>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　　2.更换鼓式制动器松闸顶杆。针对鼓式制动器采用铁质等导磁材料的松闸顶杆（见附件1中的图1和图2）在电磁力作用下产生摆动，易引起制动器卡阻的问题，要将鼓式制动器采用铁质等导磁材料的松闸顶杆更换为铜质等非导磁材料的松闸顶杆。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jc w:val="both"/>
        <w:textAlignment w:val="auto"/>
        <w:rPr>
          <w:rFonts w:hint="eastAsia" w:ascii="仿宋" w:hAnsi="仿宋" w:eastAsia="仿宋" w:cs="仿宋"/>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　　（二）工作方式。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jc w:val="both"/>
        <w:textAlignment w:val="auto"/>
        <w:rPr>
          <w:rFonts w:hint="eastAsia" w:ascii="仿宋" w:hAnsi="仿宋" w:eastAsia="仿宋" w:cs="仿宋"/>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　　电梯使用单位组织维保单位开展电梯鼓式制动器安全隐患自查和整改工作，重点排查宁波欣达电梯配件厂生产的DZS800、DZS900、DZS350、DZS200等系列制动器，以及上海富士电梯有限公司制造电梯所配置的鼓式制动器。维保单位要及时与电梯制造（改造）单位联系，核实电梯制动器类型和型号，确定纳入排查治理的范围。电梯制造单位应按照《特种设备安全法》相关规定，对其制造的电梯安全运行情况进行跟踪调查和了解，并提供必要的技术帮助。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jc w:val="both"/>
        <w:textAlignment w:val="auto"/>
        <w:rPr>
          <w:rFonts w:hint="eastAsia" w:ascii="仿宋" w:hAnsi="仿宋" w:eastAsia="仿宋" w:cs="仿宋"/>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　　1.关于拆解保养鼓式制动器电磁铁。电梯制造（改造）单位应当指定专职责任人，对照本单位销售清单，制定专项排查治理方案，通过单位网站公示或寄送等方式，公开排查治理范围内电梯鼓式制动器维护保养技术文档、电磁铁拆解清洗过程演示视频、专项排查治理方案等材料，并指导维保单位做好制动器拆解保养和安全性能确认。对于拆解需要专用工具的，电梯制造（改造）单位应当免费提供专用拆解工具。对于电梯制造单位已明确免拆解的，由电梯制造单位免费进行一次现场专项检查和确认。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jc w:val="both"/>
        <w:textAlignment w:val="auto"/>
        <w:rPr>
          <w:rFonts w:hint="eastAsia" w:ascii="仿宋" w:hAnsi="仿宋" w:eastAsia="仿宋" w:cs="仿宋"/>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　　2.关于更换鼓式制动器松闸顶杆。对采用铁质等导磁材料松闸顶杆的制动器，电梯制造（改造）单位应当向使用、维保单位免费提供配套铜质等非导磁材料松闸顶杆，并指导维保单位对铁质等导磁材料松闸顶杆进行更换。本次制动器松闸顶杆更换的施工类别属于一般修理。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jc w:val="both"/>
        <w:textAlignment w:val="auto"/>
        <w:rPr>
          <w:rFonts w:hint="eastAsia" w:ascii="仿宋" w:hAnsi="仿宋" w:eastAsia="仿宋" w:cs="仿宋"/>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　　三、工作进度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jc w:val="both"/>
        <w:textAlignment w:val="auto"/>
        <w:rPr>
          <w:rFonts w:hint="eastAsia" w:ascii="仿宋" w:hAnsi="仿宋" w:eastAsia="仿宋" w:cs="仿宋"/>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　　（一）自查准备阶段（2021年4月至2021年6月）。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jc w:val="both"/>
        <w:textAlignment w:val="auto"/>
        <w:rPr>
          <w:rFonts w:hint="eastAsia" w:ascii="仿宋" w:hAnsi="仿宋" w:eastAsia="仿宋" w:cs="仿宋"/>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　　电梯使用单位组织维保单位对电梯进行全面排查摸底，制定整改方案，并于2021年6月30日前填写《电梯鼓式制动器专项排查治理自查统计表》（见附件2），报送当地负责办理使用登记的市场监管部门。电梯制造（改造）单位对销售的电梯进行排查，于2021年5月30日前主动公开专项排查治理方案，并通过网站公示或寄送相应鼓式制动器维护保养技术文档、电磁铁拆解清洗过程演示视频等材料。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jc w:val="both"/>
        <w:textAlignment w:val="auto"/>
        <w:rPr>
          <w:rFonts w:hint="eastAsia" w:ascii="仿宋" w:hAnsi="仿宋" w:eastAsia="仿宋" w:cs="仿宋"/>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　　（二）集中整改阶段（2021年7月至2022年9月）。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jc w:val="both"/>
        <w:textAlignment w:val="auto"/>
        <w:rPr>
          <w:rFonts w:hint="eastAsia" w:ascii="仿宋" w:hAnsi="仿宋" w:eastAsia="仿宋" w:cs="仿宋"/>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　　电梯使用、维保单位对需要整改的电梯，按照电梯制造（改造）单位提供的技术资料要求开展工作，确保电梯处于安全运行状态。电梯维保单位要留存制动器电磁铁拆解保养、铁质等导磁材料松闸顶杆更换等相关视频或照片的见证材料备查。对于电梯制造单位已明确免拆解的，电梯维保单位需留存电梯制造单位在现场进行专项检查的视频或照片等见证材料。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jc w:val="both"/>
        <w:textAlignment w:val="auto"/>
        <w:rPr>
          <w:rFonts w:hint="eastAsia" w:ascii="仿宋" w:hAnsi="仿宋" w:eastAsia="仿宋" w:cs="仿宋"/>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　　（三）现场查验阶段（2021年10月至2022年9月）。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jc w:val="both"/>
        <w:textAlignment w:val="auto"/>
        <w:rPr>
          <w:rFonts w:hint="eastAsia" w:ascii="仿宋" w:hAnsi="仿宋" w:eastAsia="仿宋" w:cs="仿宋"/>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　　自2021年10月起，电梯检验机构在定期检验时，按照安全技术规范要求，查验制动器电磁铁拆解保养和铁质等导磁材料松闸顶杆更换情况，并将本机构查验情况按季度向当地负责办理使用登记的市场监管部门汇总报送。对于已实施检验检测改革试点的电梯，承担电梯检验、检测的单位按照上述要求执行。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jc w:val="both"/>
        <w:textAlignment w:val="auto"/>
        <w:rPr>
          <w:rFonts w:hint="eastAsia" w:ascii="仿宋" w:hAnsi="仿宋" w:eastAsia="仿宋" w:cs="仿宋"/>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　　四、工作要求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jc w:val="both"/>
        <w:textAlignment w:val="auto"/>
        <w:rPr>
          <w:rFonts w:hint="eastAsia" w:ascii="仿宋" w:hAnsi="仿宋" w:eastAsia="仿宋" w:cs="仿宋"/>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　　（一）切实落实安全主体责任。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jc w:val="both"/>
        <w:textAlignment w:val="auto"/>
        <w:rPr>
          <w:rFonts w:hint="eastAsia" w:ascii="仿宋" w:hAnsi="仿宋" w:eastAsia="仿宋" w:cs="仿宋"/>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　　电梯使用单位要落实使用管理主体责任，组织维保单位采取针对性措施，按期完成鼓式制动器排查治理工作。电梯制造（改造）单位要积极履行质量安全主体责任，主动跟踪指导，密切配合、指导使用、维保单位实施整改，根据需要对相关维保单位进行技术培训和指导，保证现场作业的安全、有效。对属于本次专项排查鼓式制动器范围内的电梯，如其制造（改造）单位已注销的，相应驱动主机制造单位承担上述工作职责。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jc w:val="both"/>
        <w:textAlignment w:val="auto"/>
        <w:rPr>
          <w:rFonts w:hint="eastAsia" w:ascii="仿宋" w:hAnsi="仿宋" w:eastAsia="仿宋" w:cs="仿宋"/>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　　（二）发挥检验、检测机构技术把关作用。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jc w:val="both"/>
        <w:textAlignment w:val="auto"/>
        <w:rPr>
          <w:rFonts w:hint="eastAsia" w:ascii="仿宋" w:hAnsi="仿宋" w:eastAsia="仿宋" w:cs="仿宋"/>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　　电梯检验、检测机构要结合电梯定期检验和检测工作，对本次专项排查整治范围内的制动器，逐一查验电磁铁拆解保养过程和松闸顶杆更换的视频或照片等见证材料。对未落实本次专项排查治理要求的，要按照《电梯监督检验和定期检验规则—曳引与强制驱动电梯》（TSG T7001—2009）等安全技术规范中附件A第1.4（2）项的要求，对维保单位的自行检查记录或报告提出整改意见。待维保单位整改后，方可实施复检。对于已实施检验检测改革试点的电梯，承担电梯检验、检测的单位参照上述规定执行。电梯检验机构不得以本次专项排查治理工作名义加收任何费用。根据相关单位的需要，电梯型式试验机应当提供技术支持或咨询帮助。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jc w:val="both"/>
        <w:textAlignment w:val="auto"/>
        <w:rPr>
          <w:rFonts w:hint="eastAsia" w:ascii="仿宋" w:hAnsi="仿宋" w:eastAsia="仿宋" w:cs="仿宋"/>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　　（三）加强监督检查和行政执法。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jc w:val="both"/>
        <w:textAlignment w:val="auto"/>
        <w:rPr>
          <w:rFonts w:hint="eastAsia" w:ascii="仿宋" w:hAnsi="仿宋" w:eastAsia="仿宋" w:cs="仿宋"/>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　　各地市场监管部门要加强统筹协调，调动各方力量，推进排查治理工作有序开展。要进一步强化电梯安全监管，督促使用、维保单位切实落实安全主体责任，重点加强公众聚集场所和居民小区电梯的监督检查，严肃查处有关违法违规行为，保障人民群众安心乘梯。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jc w:val="both"/>
        <w:textAlignment w:val="auto"/>
        <w:rPr>
          <w:rFonts w:hint="eastAsia" w:ascii="仿宋" w:hAnsi="仿宋" w:eastAsia="仿宋" w:cs="仿宋"/>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　　请省级市场监管部门于2021年7月30日前，填写《电梯鼓式制动器专项排查治理汇总表》（见附件3）报送总局特种设备局，以后每三个月报送一次。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jc w:val="both"/>
        <w:textAlignment w:val="auto"/>
        <w:rPr>
          <w:rFonts w:hint="eastAsia" w:ascii="仿宋" w:hAnsi="仿宋" w:eastAsia="仿宋" w:cs="仿宋"/>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　　工作中遇到问题，请与总局特种设备局联系。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jc w:val="both"/>
        <w:textAlignment w:val="auto"/>
        <w:rPr>
          <w:rFonts w:hint="eastAsia" w:ascii="仿宋" w:hAnsi="仿宋" w:eastAsia="仿宋" w:cs="仿宋"/>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　　联系人：李赵 010-82262897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jc w:val="both"/>
        <w:textAlignment w:val="auto"/>
        <w:rPr>
          <w:rFonts w:hint="eastAsia" w:ascii="仿宋" w:hAnsi="仿宋" w:eastAsia="仿宋" w:cs="仿宋"/>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　　附件：1.典型鼓式制动器图例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jc w:val="both"/>
        <w:textAlignment w:val="auto"/>
        <w:rPr>
          <w:rFonts w:hint="eastAsia" w:ascii="仿宋" w:hAnsi="仿宋" w:eastAsia="仿宋" w:cs="仿宋"/>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　　        2.电梯鼓式制动器专项排查治理自查统计表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jc w:val="both"/>
        <w:textAlignment w:val="auto"/>
        <w:rPr>
          <w:rFonts w:hint="eastAsia" w:ascii="仿宋" w:hAnsi="仿宋" w:eastAsia="仿宋" w:cs="仿宋"/>
          <w:i w:val="0"/>
          <w:iCs w:val="0"/>
          <w:caps w:val="0"/>
          <w:color w:val="333333"/>
          <w:spacing w:val="0"/>
          <w:kern w:val="0"/>
          <w:sz w:val="30"/>
          <w:szCs w:val="30"/>
          <w:shd w:val="clear" w:fill="FFFFFF"/>
          <w:lang w:val="en-US" w:eastAsia="zh-CN" w:bidi="ar"/>
        </w:rPr>
      </w:pPr>
      <w:r>
        <w:rPr>
          <w:rFonts w:hint="eastAsia" w:ascii="仿宋" w:hAnsi="仿宋" w:eastAsia="仿宋" w:cs="仿宋"/>
          <w:i w:val="0"/>
          <w:iCs w:val="0"/>
          <w:caps w:val="0"/>
          <w:color w:val="333333"/>
          <w:spacing w:val="0"/>
          <w:kern w:val="0"/>
          <w:sz w:val="30"/>
          <w:szCs w:val="30"/>
          <w:shd w:val="clear" w:fill="FFFFFF"/>
          <w:lang w:val="en-US" w:eastAsia="zh-CN" w:bidi="ar"/>
        </w:rPr>
        <w:t>　　        3.电梯鼓式制动器专项排查治理汇总表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jc w:val="both"/>
        <w:textAlignment w:val="auto"/>
        <w:rPr>
          <w:rFonts w:hint="eastAsia" w:ascii="仿宋" w:hAnsi="仿宋" w:eastAsia="仿宋" w:cs="仿宋"/>
          <w:i w:val="0"/>
          <w:iCs w:val="0"/>
          <w:caps w:val="0"/>
          <w:color w:val="333333"/>
          <w:spacing w:val="0"/>
          <w:kern w:val="0"/>
          <w:sz w:val="30"/>
          <w:szCs w:val="30"/>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jc w:val="right"/>
        <w:textAlignment w:val="auto"/>
        <w:rPr>
          <w:rFonts w:hint="eastAsia" w:ascii="仿宋" w:hAnsi="仿宋" w:eastAsia="仿宋" w:cs="仿宋"/>
          <w:i w:val="0"/>
          <w:iCs w:val="0"/>
          <w:caps w:val="0"/>
          <w:color w:val="333333"/>
          <w:spacing w:val="0"/>
          <w:kern w:val="0"/>
          <w:sz w:val="30"/>
          <w:szCs w:val="30"/>
          <w:shd w:val="clear" w:fill="FFFFFF"/>
          <w:lang w:val="en-US" w:eastAsia="zh-CN" w:bidi="ar"/>
        </w:rPr>
      </w:pPr>
      <w:r>
        <w:rPr>
          <w:rFonts w:hint="eastAsia" w:ascii="仿宋" w:hAnsi="仿宋" w:eastAsia="仿宋" w:cs="仿宋"/>
          <w:i w:val="0"/>
          <w:iCs w:val="0"/>
          <w:caps w:val="0"/>
          <w:color w:val="333333"/>
          <w:spacing w:val="0"/>
          <w:kern w:val="0"/>
          <w:sz w:val="30"/>
          <w:szCs w:val="30"/>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jc w:val="right"/>
        <w:textAlignment w:val="auto"/>
        <w:rPr>
          <w:rFonts w:hint="eastAsia" w:ascii="仿宋" w:hAnsi="仿宋" w:eastAsia="仿宋" w:cs="仿宋"/>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市场监管总局办公厅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480" w:lineRule="atLeast"/>
        <w:ind w:left="0" w:right="0"/>
        <w:jc w:val="right"/>
        <w:textAlignment w:val="auto"/>
        <w:rPr>
          <w:rFonts w:hint="eastAsia" w:ascii="仿宋" w:hAnsi="仿宋" w:eastAsia="仿宋" w:cs="仿宋"/>
          <w:i w:val="0"/>
          <w:iCs w:val="0"/>
          <w:caps w:val="0"/>
          <w:color w:val="333333"/>
          <w:spacing w:val="0"/>
          <w:kern w:val="0"/>
          <w:sz w:val="30"/>
          <w:szCs w:val="30"/>
          <w:shd w:val="clear" w:fill="FFFFFF"/>
          <w:lang w:val="en-US" w:eastAsia="zh-CN" w:bidi="ar"/>
        </w:rPr>
      </w:pPr>
      <w:r>
        <w:rPr>
          <w:rFonts w:hint="eastAsia" w:ascii="仿宋" w:hAnsi="仿宋" w:eastAsia="仿宋" w:cs="仿宋"/>
          <w:i w:val="0"/>
          <w:iCs w:val="0"/>
          <w:caps w:val="0"/>
          <w:color w:val="333333"/>
          <w:spacing w:val="0"/>
          <w:kern w:val="0"/>
          <w:sz w:val="30"/>
          <w:szCs w:val="30"/>
          <w:shd w:val="clear" w:fill="FFFFFF"/>
          <w:lang w:val="en-US" w:eastAsia="zh-CN" w:bidi="ar"/>
        </w:rPr>
        <w:t> 2021年4月9日</w:t>
      </w:r>
    </w:p>
    <w:p>
      <w:pPr>
        <w:rPr>
          <w:rFonts w:hint="eastAsia" w:ascii="仿宋" w:hAnsi="仿宋" w:eastAsia="仿宋" w:cs="仿宋"/>
          <w:i w:val="0"/>
          <w:iCs w:val="0"/>
          <w:caps w:val="0"/>
          <w:color w:val="333333"/>
          <w:spacing w:val="0"/>
          <w:kern w:val="0"/>
          <w:sz w:val="30"/>
          <w:szCs w:val="30"/>
          <w:shd w:val="clear" w:fill="FFFFFF"/>
          <w:lang w:val="en-US" w:eastAsia="zh-CN" w:bidi="ar"/>
        </w:rPr>
      </w:pPr>
      <w:r>
        <w:rPr>
          <w:rFonts w:hint="eastAsia" w:ascii="仿宋" w:hAnsi="仿宋" w:eastAsia="仿宋" w:cs="仿宋"/>
          <w:i w:val="0"/>
          <w:iCs w:val="0"/>
          <w:caps w:val="0"/>
          <w:color w:val="333333"/>
          <w:spacing w:val="0"/>
          <w:kern w:val="0"/>
          <w:sz w:val="30"/>
          <w:szCs w:val="30"/>
          <w:shd w:val="clear" w:fill="FFFFFF"/>
          <w:lang w:val="en-US" w:eastAsia="zh-CN" w:bidi="ar"/>
        </w:rPr>
        <w:br w:type="page"/>
      </w:r>
    </w:p>
    <w:p>
      <w:pPr>
        <w:rPr>
          <w:rFonts w:hint="eastAsia" w:ascii="Times New Roman" w:hAnsi="Times New Roman" w:eastAsia="黑体" w:cs="黑体"/>
          <w:sz w:val="32"/>
          <w:szCs w:val="32"/>
        </w:rPr>
      </w:pPr>
      <w:r>
        <w:rPr>
          <w:rFonts w:hint="eastAsia" w:ascii="Times New Roman" w:hAnsi="Times New Roman" w:eastAsia="黑体" w:cs="黑体"/>
          <w:sz w:val="32"/>
          <w:szCs w:val="32"/>
        </w:rPr>
        <w:t>附件1</w:t>
      </w:r>
    </w:p>
    <w:p>
      <w:pPr>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kern w:val="0"/>
          <w:sz w:val="44"/>
          <w:szCs w:val="44"/>
          <w:shd w:val="clear" w:color="auto" w:fill="FFFFFF"/>
        </w:rPr>
        <w:t>典型鼓式制动器</w:t>
      </w:r>
      <w:r>
        <w:rPr>
          <w:rFonts w:hint="eastAsia" w:ascii="Times New Roman" w:hAnsi="Times New Roman" w:eastAsia="方正小标宋简体" w:cs="方正小标宋简体"/>
          <w:sz w:val="44"/>
          <w:szCs w:val="44"/>
          <w:shd w:val="clear" w:color="auto" w:fill="FFFFFF"/>
        </w:rPr>
        <w:t>图例</w:t>
      </w:r>
    </w:p>
    <w:p>
      <w:pPr>
        <w:jc w:val="center"/>
        <w:rPr>
          <w:rFonts w:hint="eastAsia" w:ascii="Times New Roman" w:hAnsi="Times New Roman" w:eastAsia="宋体"/>
          <w:lang w:eastAsia="zh-CN"/>
        </w:rPr>
      </w:pPr>
      <w:r>
        <w:rPr>
          <w:rFonts w:hint="eastAsia" w:ascii="Times New Roman" w:hAnsi="Times New Roman" w:eastAsia="宋体"/>
          <w:lang w:eastAsia="zh-CN"/>
        </w:rPr>
        <w:drawing>
          <wp:inline distT="0" distB="0" distL="114300" distR="114300">
            <wp:extent cx="3592830" cy="3321050"/>
            <wp:effectExtent l="0" t="0" r="1270" b="0"/>
            <wp:docPr id="3" name="图片 1" descr="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图1"/>
                    <pic:cNvPicPr>
                      <a:picLocks noChangeAspect="1"/>
                    </pic:cNvPicPr>
                  </pic:nvPicPr>
                  <pic:blipFill>
                    <a:blip r:embed="rId5"/>
                    <a:srcRect l="10966" t="2954" r="34335" b="13940"/>
                    <a:stretch>
                      <a:fillRect/>
                    </a:stretch>
                  </pic:blipFill>
                  <pic:spPr>
                    <a:xfrm>
                      <a:off x="0" y="0"/>
                      <a:ext cx="3592830" cy="3321050"/>
                    </a:xfrm>
                    <a:prstGeom prst="rect">
                      <a:avLst/>
                    </a:prstGeom>
                    <a:noFill/>
                    <a:ln>
                      <a:noFill/>
                    </a:ln>
                  </pic:spPr>
                </pic:pic>
              </a:graphicData>
            </a:graphic>
          </wp:inline>
        </w:drawing>
      </w:r>
    </w:p>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图1</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rPr>
        <w:t>鼓式制动器</w:t>
      </w:r>
      <w:r>
        <w:rPr>
          <w:rFonts w:hint="eastAsia" w:ascii="仿宋_GB2312" w:hAnsi="仿宋_GB2312" w:eastAsia="仿宋_GB2312" w:cs="仿宋_GB2312"/>
          <w:sz w:val="24"/>
          <w:szCs w:val="24"/>
          <w:lang w:eastAsia="zh-CN"/>
        </w:rPr>
        <w:t>（双铁芯）</w:t>
      </w:r>
    </w:p>
    <w:p>
      <w:pPr>
        <w:pStyle w:val="2"/>
        <w:jc w:val="center"/>
        <w:rPr>
          <w:rFonts w:hint="eastAsia" w:ascii="Times New Roman" w:hAnsi="Times New Roman" w:eastAsia="宋体"/>
          <w:lang w:eastAsia="zh-CN"/>
        </w:rPr>
      </w:pPr>
      <w:r>
        <w:rPr>
          <w:rFonts w:hint="eastAsia" w:ascii="Times New Roman" w:hAnsi="Times New Roman" w:eastAsia="宋体"/>
          <w:lang w:eastAsia="zh-CN"/>
        </w:rPr>
        <w:drawing>
          <wp:inline distT="0" distB="0" distL="114300" distR="114300">
            <wp:extent cx="4246245" cy="2605405"/>
            <wp:effectExtent l="0" t="0" r="0" b="0"/>
            <wp:docPr id="1" name="图片 2" descr="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图1"/>
                    <pic:cNvPicPr>
                      <a:picLocks noChangeAspect="1"/>
                    </pic:cNvPicPr>
                  </pic:nvPicPr>
                  <pic:blipFill>
                    <a:blip r:embed="rId6"/>
                    <a:srcRect l="7697" t="19394" r="30945" b="18739"/>
                    <a:stretch>
                      <a:fillRect/>
                    </a:stretch>
                  </pic:blipFill>
                  <pic:spPr>
                    <a:xfrm>
                      <a:off x="0" y="0"/>
                      <a:ext cx="4246245" cy="2605405"/>
                    </a:xfrm>
                    <a:prstGeom prst="rect">
                      <a:avLst/>
                    </a:prstGeom>
                    <a:noFill/>
                    <a:ln>
                      <a:noFill/>
                    </a:ln>
                  </pic:spPr>
                </pic:pic>
              </a:graphicData>
            </a:graphic>
          </wp:inline>
        </w:drawing>
      </w:r>
    </w:p>
    <w:p>
      <w:pPr>
        <w:pStyle w:val="2"/>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图</w:t>
      </w:r>
      <w:r>
        <w:rPr>
          <w:rFonts w:hint="eastAsia" w:ascii="仿宋_GB2312" w:hAnsi="仿宋_GB2312" w:eastAsia="仿宋_GB2312" w:cs="仿宋_GB2312"/>
          <w:sz w:val="24"/>
          <w:szCs w:val="24"/>
          <w:lang w:val="en-US" w:eastAsia="zh-CN"/>
        </w:rPr>
        <w:t xml:space="preserve">2 </w:t>
      </w:r>
      <w:r>
        <w:rPr>
          <w:rFonts w:hint="eastAsia" w:ascii="仿宋_GB2312" w:hAnsi="仿宋_GB2312" w:eastAsia="仿宋_GB2312" w:cs="仿宋_GB2312"/>
          <w:sz w:val="24"/>
          <w:szCs w:val="24"/>
        </w:rPr>
        <w:t>电磁铁内部结构图</w:t>
      </w:r>
    </w:p>
    <w:p>
      <w:pPr>
        <w:jc w:val="center"/>
        <w:rPr>
          <w:rFonts w:ascii="Times New Roman" w:hAnsi="Times New Roman"/>
          <w:sz w:val="21"/>
          <w:szCs w:val="21"/>
        </w:rPr>
      </w:pPr>
    </w:p>
    <w:p>
      <w:pPr>
        <w:jc w:val="center"/>
        <w:rPr>
          <w:rFonts w:ascii="Times New Roman" w:hAnsi="Times New Roman"/>
          <w:sz w:val="21"/>
          <w:szCs w:val="21"/>
        </w:rPr>
      </w:pPr>
    </w:p>
    <w:p>
      <w:pPr>
        <w:jc w:val="center"/>
        <w:rPr>
          <w:rFonts w:ascii="Times New Roman" w:hAnsi="Times New Roman" w:eastAsia="宋体"/>
        </w:rPr>
      </w:pPr>
      <w:r>
        <w:rPr>
          <w:rFonts w:hint="eastAsia" w:ascii="Times New Roman" w:hAnsi="Times New Roman" w:eastAsia="宋体"/>
          <w:lang w:eastAsia="zh-CN"/>
        </w:rPr>
        <w:drawing>
          <wp:inline distT="0" distB="0" distL="114300" distR="114300">
            <wp:extent cx="5057140" cy="3763010"/>
            <wp:effectExtent l="0" t="0" r="10160" b="8890"/>
            <wp:docPr id="2"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图片1"/>
                    <pic:cNvPicPr>
                      <a:picLocks noChangeAspect="1"/>
                    </pic:cNvPicPr>
                  </pic:nvPicPr>
                  <pic:blipFill>
                    <a:blip r:embed="rId7"/>
                    <a:stretch>
                      <a:fillRect/>
                    </a:stretch>
                  </pic:blipFill>
                  <pic:spPr>
                    <a:xfrm>
                      <a:off x="0" y="0"/>
                      <a:ext cx="5057140" cy="3763010"/>
                    </a:xfrm>
                    <a:prstGeom prst="rect">
                      <a:avLst/>
                    </a:prstGeom>
                    <a:noFill/>
                    <a:ln>
                      <a:noFill/>
                    </a:ln>
                  </pic:spPr>
                </pic:pic>
              </a:graphicData>
            </a:graphic>
          </wp:inline>
        </w:drawing>
      </w:r>
    </w:p>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图</w:t>
      </w:r>
      <w:r>
        <w:rPr>
          <w:rFonts w:hint="eastAsia" w:ascii="仿宋_GB2312" w:hAnsi="仿宋_GB2312" w:eastAsia="仿宋_GB2312" w:cs="仿宋_GB2312"/>
          <w:sz w:val="24"/>
          <w:szCs w:val="24"/>
          <w:lang w:val="en-US" w:eastAsia="zh-CN"/>
        </w:rPr>
        <w:t>3</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rPr>
        <w:t>鼓式制动器</w:t>
      </w:r>
      <w:r>
        <w:rPr>
          <w:rFonts w:hint="eastAsia" w:ascii="仿宋_GB2312" w:hAnsi="仿宋_GB2312" w:eastAsia="仿宋_GB2312" w:cs="仿宋_GB2312"/>
          <w:sz w:val="24"/>
          <w:szCs w:val="24"/>
          <w:lang w:eastAsia="zh-CN"/>
        </w:rPr>
        <w:t>（单铁芯）</w:t>
      </w:r>
    </w:p>
    <w:p/>
    <w:p>
      <w:pPr>
        <w:rPr>
          <w:rFonts w:hint="eastAsia" w:ascii="仿宋" w:hAnsi="仿宋" w:eastAsia="仿宋" w:cs="仿宋"/>
          <w:i w:val="0"/>
          <w:iCs w:val="0"/>
          <w:caps w:val="0"/>
          <w:color w:val="333333"/>
          <w:spacing w:val="0"/>
          <w:kern w:val="0"/>
          <w:sz w:val="30"/>
          <w:szCs w:val="30"/>
          <w:shd w:val="clear" w:fill="FFFFFF"/>
          <w:lang w:val="en-US" w:eastAsia="zh-CN" w:bidi="ar"/>
        </w:rPr>
      </w:pPr>
      <w:r>
        <w:rPr>
          <w:rFonts w:hint="eastAsia" w:ascii="仿宋" w:hAnsi="仿宋" w:eastAsia="仿宋" w:cs="仿宋"/>
          <w:i w:val="0"/>
          <w:iCs w:val="0"/>
          <w:caps w:val="0"/>
          <w:color w:val="333333"/>
          <w:spacing w:val="0"/>
          <w:kern w:val="0"/>
          <w:sz w:val="30"/>
          <w:szCs w:val="30"/>
          <w:shd w:val="clear" w:fill="FFFFFF"/>
          <w:lang w:val="en-US" w:eastAsia="zh-CN" w:bidi="ar"/>
        </w:rPr>
        <w:br w:type="page"/>
      </w:r>
    </w:p>
    <w:p>
      <w:pPr>
        <w:rPr>
          <w:rFonts w:hint="eastAsia" w:ascii="Times New Roman" w:hAnsi="Times New Roman" w:eastAsia="黑体" w:cs="黑体"/>
          <w:sz w:val="32"/>
          <w:szCs w:val="32"/>
        </w:rPr>
      </w:pPr>
      <w:r>
        <w:rPr>
          <w:rFonts w:hint="eastAsia" w:ascii="Times New Roman" w:hAnsi="Times New Roman" w:eastAsia="黑体" w:cs="黑体"/>
          <w:sz w:val="32"/>
          <w:szCs w:val="32"/>
        </w:rPr>
        <w:t>附件2</w:t>
      </w:r>
    </w:p>
    <w:p>
      <w:pPr>
        <w:jc w:val="center"/>
        <w:rPr>
          <w:rFonts w:ascii="Times New Roman" w:hAnsi="Times New Roman" w:eastAsia="方正小标宋简体" w:cs="方正小标宋简体"/>
          <w:kern w:val="0"/>
          <w:sz w:val="44"/>
          <w:szCs w:val="44"/>
          <w:shd w:val="clear" w:color="auto" w:fill="FFFFFF"/>
        </w:rPr>
      </w:pPr>
      <w:r>
        <w:rPr>
          <w:rFonts w:hint="eastAsia" w:ascii="Times New Roman" w:hAnsi="Times New Roman" w:eastAsia="方正小标宋简体" w:cs="方正小标宋简体"/>
          <w:kern w:val="0"/>
          <w:sz w:val="44"/>
          <w:szCs w:val="44"/>
          <w:shd w:val="clear" w:color="auto" w:fill="FFFFFF"/>
        </w:rPr>
        <w:t>电梯</w:t>
      </w:r>
      <w:r>
        <w:rPr>
          <w:rFonts w:hint="eastAsia" w:ascii="Times New Roman" w:hAnsi="Times New Roman" w:eastAsia="方正小标宋简体" w:cs="方正小标宋简体"/>
          <w:kern w:val="0"/>
          <w:sz w:val="44"/>
          <w:szCs w:val="44"/>
          <w:shd w:val="clear" w:color="auto" w:fill="FFFFFF"/>
          <w:lang w:eastAsia="zh-CN"/>
        </w:rPr>
        <w:t>鼓式</w:t>
      </w:r>
      <w:r>
        <w:rPr>
          <w:rFonts w:hint="eastAsia" w:ascii="Times New Roman" w:hAnsi="Times New Roman" w:eastAsia="方正小标宋简体" w:cs="方正小标宋简体"/>
          <w:kern w:val="0"/>
          <w:sz w:val="44"/>
          <w:szCs w:val="44"/>
          <w:shd w:val="clear" w:color="auto" w:fill="FFFFFF"/>
        </w:rPr>
        <w:t>制动器专项排查治理自查统计表</w:t>
      </w:r>
    </w:p>
    <w:p>
      <w:pPr>
        <w:pStyle w:val="2"/>
        <w:ind w:firstLine="210"/>
        <w:rPr>
          <w:rFonts w:ascii="Times New Roman" w:hAnsi="Times New Roman"/>
        </w:rPr>
      </w:pPr>
    </w:p>
    <w:tbl>
      <w:tblPr>
        <w:tblStyle w:val="6"/>
        <w:tblW w:w="0" w:type="auto"/>
        <w:tblInd w:w="0" w:type="dxa"/>
        <w:tblLayout w:type="fixed"/>
        <w:tblCellMar>
          <w:top w:w="0" w:type="dxa"/>
          <w:left w:w="0" w:type="dxa"/>
          <w:bottom w:w="0" w:type="dxa"/>
          <w:right w:w="0" w:type="dxa"/>
        </w:tblCellMar>
      </w:tblPr>
      <w:tblGrid>
        <w:gridCol w:w="925"/>
        <w:gridCol w:w="940"/>
        <w:gridCol w:w="2651"/>
        <w:gridCol w:w="2618"/>
        <w:gridCol w:w="1746"/>
      </w:tblGrid>
      <w:tr>
        <w:tblPrEx>
          <w:tblCellMar>
            <w:top w:w="0" w:type="dxa"/>
            <w:left w:w="0" w:type="dxa"/>
            <w:bottom w:w="0" w:type="dxa"/>
            <w:right w:w="0" w:type="dxa"/>
          </w:tblCellMar>
        </w:tblPrEx>
        <w:trPr>
          <w:trHeight w:val="506" w:hRule="atLeast"/>
        </w:trPr>
        <w:tc>
          <w:tcPr>
            <w:tcW w:w="186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使用单位</w:t>
            </w:r>
          </w:p>
          <w:p>
            <w:pPr>
              <w:widowControl/>
              <w:jc w:val="center"/>
              <w:textAlignment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kern w:val="0"/>
                <w:sz w:val="24"/>
                <w:szCs w:val="24"/>
              </w:rPr>
              <w:t>（盖章）</w:t>
            </w:r>
          </w:p>
        </w:tc>
        <w:tc>
          <w:tcPr>
            <w:tcW w:w="26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val="0"/>
                <w:bCs w:val="0"/>
                <w:color w:val="000000"/>
                <w:sz w:val="24"/>
                <w:szCs w:val="24"/>
              </w:rPr>
            </w:pPr>
          </w:p>
        </w:tc>
        <w:tc>
          <w:tcPr>
            <w:tcW w:w="2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kern w:val="0"/>
                <w:sz w:val="24"/>
                <w:szCs w:val="24"/>
              </w:rPr>
              <w:t>垂直电梯总台数</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kern w:val="0"/>
                <w:sz w:val="24"/>
                <w:szCs w:val="24"/>
                <w:u w:val="single"/>
              </w:rPr>
              <w:t xml:space="preserve">     </w:t>
            </w:r>
            <w:r>
              <w:rPr>
                <w:rFonts w:hint="eastAsia" w:ascii="仿宋_GB2312" w:hAnsi="仿宋_GB2312" w:eastAsia="仿宋_GB2312" w:cs="仿宋_GB2312"/>
                <w:b w:val="0"/>
                <w:bCs w:val="0"/>
                <w:color w:val="000000"/>
                <w:kern w:val="0"/>
                <w:sz w:val="24"/>
                <w:szCs w:val="24"/>
              </w:rPr>
              <w:t>台</w:t>
            </w:r>
          </w:p>
        </w:tc>
      </w:tr>
      <w:tr>
        <w:tblPrEx>
          <w:tblCellMar>
            <w:top w:w="0" w:type="dxa"/>
            <w:left w:w="0" w:type="dxa"/>
            <w:bottom w:w="0" w:type="dxa"/>
            <w:right w:w="0" w:type="dxa"/>
          </w:tblCellMar>
        </w:tblPrEx>
        <w:trPr>
          <w:trHeight w:val="652" w:hRule="atLeast"/>
        </w:trPr>
        <w:tc>
          <w:tcPr>
            <w:tcW w:w="1865"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使用地点</w:t>
            </w:r>
          </w:p>
        </w:tc>
        <w:tc>
          <w:tcPr>
            <w:tcW w:w="7015" w:type="dxa"/>
            <w:gridSpan w:val="3"/>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b w:val="0"/>
                <w:bCs w:val="0"/>
                <w:color w:val="000000"/>
                <w:kern w:val="0"/>
                <w:sz w:val="24"/>
                <w:szCs w:val="24"/>
              </w:rPr>
            </w:pPr>
          </w:p>
        </w:tc>
      </w:tr>
      <w:tr>
        <w:tblPrEx>
          <w:tblCellMar>
            <w:top w:w="0" w:type="dxa"/>
            <w:left w:w="0" w:type="dxa"/>
            <w:bottom w:w="0" w:type="dxa"/>
            <w:right w:w="0" w:type="dxa"/>
          </w:tblCellMar>
        </w:tblPrEx>
        <w:trPr>
          <w:trHeight w:val="652" w:hRule="atLeast"/>
        </w:trPr>
        <w:tc>
          <w:tcPr>
            <w:tcW w:w="1865"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维保单位</w:t>
            </w:r>
          </w:p>
        </w:tc>
        <w:tc>
          <w:tcPr>
            <w:tcW w:w="7015" w:type="dxa"/>
            <w:gridSpan w:val="3"/>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b w:val="0"/>
                <w:bCs w:val="0"/>
                <w:color w:val="000000"/>
                <w:kern w:val="0"/>
                <w:sz w:val="24"/>
                <w:szCs w:val="24"/>
              </w:rPr>
            </w:pPr>
          </w:p>
        </w:tc>
      </w:tr>
      <w:tr>
        <w:tblPrEx>
          <w:tblCellMar>
            <w:top w:w="0" w:type="dxa"/>
            <w:left w:w="0" w:type="dxa"/>
            <w:bottom w:w="0" w:type="dxa"/>
            <w:right w:w="0" w:type="dxa"/>
          </w:tblCellMar>
        </w:tblPrEx>
        <w:trPr>
          <w:trHeight w:val="531" w:hRule="atLeast"/>
        </w:trPr>
        <w:tc>
          <w:tcPr>
            <w:tcW w:w="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kern w:val="0"/>
                <w:sz w:val="24"/>
                <w:szCs w:val="24"/>
              </w:rPr>
              <w:t>序号</w:t>
            </w:r>
          </w:p>
        </w:tc>
        <w:tc>
          <w:tcPr>
            <w:tcW w:w="35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kern w:val="0"/>
                <w:sz w:val="24"/>
                <w:szCs w:val="24"/>
              </w:rPr>
              <w:t>排查项目</w:t>
            </w:r>
          </w:p>
        </w:tc>
        <w:tc>
          <w:tcPr>
            <w:tcW w:w="43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kern w:val="0"/>
                <w:sz w:val="24"/>
                <w:szCs w:val="24"/>
              </w:rPr>
              <w:t>排查结果</w:t>
            </w:r>
          </w:p>
        </w:tc>
      </w:tr>
      <w:tr>
        <w:tblPrEx>
          <w:tblCellMar>
            <w:top w:w="0" w:type="dxa"/>
            <w:left w:w="0" w:type="dxa"/>
            <w:bottom w:w="0" w:type="dxa"/>
            <w:right w:w="0" w:type="dxa"/>
          </w:tblCellMar>
        </w:tblPrEx>
        <w:trPr>
          <w:trHeight w:val="459" w:hRule="atLeast"/>
        </w:trPr>
        <w:tc>
          <w:tcPr>
            <w:tcW w:w="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kern w:val="0"/>
                <w:sz w:val="24"/>
                <w:szCs w:val="24"/>
              </w:rPr>
              <w:t>1</w:t>
            </w:r>
          </w:p>
        </w:tc>
        <w:tc>
          <w:tcPr>
            <w:tcW w:w="35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outlineLvl w:val="9"/>
              <w:rPr>
                <w:rFonts w:hint="eastAsia" w:ascii="仿宋_GB2312" w:hAnsi="仿宋_GB2312" w:eastAsia="仿宋_GB2312" w:cs="仿宋_GB2312"/>
                <w:b w:val="0"/>
                <w:bCs w:val="0"/>
                <w:color w:val="000000"/>
                <w:sz w:val="24"/>
                <w:szCs w:val="24"/>
              </w:rPr>
            </w:pPr>
            <w:r>
              <w:rPr>
                <w:rFonts w:hint="default" w:ascii="仿宋_GB2312" w:hAnsi="仿宋_GB2312" w:eastAsia="仿宋_GB2312" w:cs="仿宋_GB2312"/>
                <w:b w:val="0"/>
                <w:bCs w:val="0"/>
                <w:color w:val="000000"/>
                <w:kern w:val="0"/>
                <w:sz w:val="24"/>
                <w:szCs w:val="24"/>
              </w:rPr>
              <w:t>拆解保养鼓式制动器电磁铁</w:t>
            </w:r>
          </w:p>
        </w:tc>
        <w:tc>
          <w:tcPr>
            <w:tcW w:w="43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center"/>
              <w:textAlignment w:val="center"/>
              <w:rPr>
                <w:rFonts w:hint="eastAsia" w:ascii="仿宋_GB2312" w:hAnsi="仿宋_GB2312" w:eastAsia="仿宋_GB2312" w:cs="仿宋_GB2312"/>
                <w:b w:val="0"/>
                <w:bCs w:val="0"/>
                <w:sz w:val="24"/>
                <w:szCs w:val="24"/>
                <w:lang w:eastAsia="zh-CN"/>
              </w:rPr>
            </w:pPr>
            <w:r>
              <w:rPr>
                <w:rFonts w:hint="eastAsia" w:ascii="仿宋_GB2312" w:hAnsi="仿宋_GB2312" w:eastAsia="仿宋_GB2312" w:cs="仿宋_GB2312"/>
                <w:b w:val="0"/>
                <w:bCs w:val="0"/>
                <w:color w:val="000000"/>
                <w:kern w:val="0"/>
                <w:sz w:val="24"/>
                <w:szCs w:val="24"/>
              </w:rPr>
              <w:t>排查</w:t>
            </w:r>
            <w:r>
              <w:rPr>
                <w:rFonts w:hint="eastAsia" w:ascii="仿宋_GB2312" w:hAnsi="仿宋_GB2312" w:eastAsia="仿宋_GB2312" w:cs="仿宋_GB2312"/>
                <w:b w:val="0"/>
                <w:bCs w:val="0"/>
                <w:color w:val="000000"/>
                <w:kern w:val="0"/>
                <w:sz w:val="24"/>
                <w:szCs w:val="24"/>
                <w:u w:val="single"/>
              </w:rPr>
              <w:t xml:space="preserve">     </w:t>
            </w:r>
            <w:r>
              <w:rPr>
                <w:rFonts w:hint="eastAsia" w:ascii="仿宋_GB2312" w:hAnsi="仿宋_GB2312" w:eastAsia="仿宋_GB2312" w:cs="仿宋_GB2312"/>
                <w:b w:val="0"/>
                <w:bCs w:val="0"/>
                <w:color w:val="000000"/>
                <w:kern w:val="0"/>
                <w:sz w:val="24"/>
                <w:szCs w:val="24"/>
              </w:rPr>
              <w:t>台，需拆解保养</w:t>
            </w:r>
            <w:r>
              <w:rPr>
                <w:rFonts w:hint="eastAsia" w:ascii="仿宋_GB2312" w:hAnsi="仿宋_GB2312" w:eastAsia="仿宋_GB2312" w:cs="仿宋_GB2312"/>
                <w:b w:val="0"/>
                <w:bCs w:val="0"/>
                <w:color w:val="000000"/>
                <w:kern w:val="0"/>
                <w:sz w:val="24"/>
                <w:szCs w:val="24"/>
                <w:u w:val="single"/>
              </w:rPr>
              <w:t xml:space="preserve">     </w:t>
            </w:r>
            <w:r>
              <w:rPr>
                <w:rFonts w:hint="eastAsia" w:ascii="仿宋_GB2312" w:hAnsi="仿宋_GB2312" w:eastAsia="仿宋_GB2312" w:cs="仿宋_GB2312"/>
                <w:b w:val="0"/>
                <w:bCs w:val="0"/>
                <w:color w:val="000000"/>
                <w:kern w:val="0"/>
                <w:sz w:val="24"/>
                <w:szCs w:val="24"/>
              </w:rPr>
              <w:t>台</w:t>
            </w:r>
            <w:r>
              <w:rPr>
                <w:rFonts w:hint="eastAsia" w:ascii="仿宋_GB2312" w:hAnsi="仿宋_GB2312" w:eastAsia="仿宋_GB2312" w:cs="仿宋_GB2312"/>
                <w:b w:val="0"/>
                <w:bCs w:val="0"/>
                <w:color w:val="000000"/>
                <w:kern w:val="0"/>
                <w:sz w:val="24"/>
                <w:szCs w:val="24"/>
                <w:lang w:eastAsia="zh-CN"/>
              </w:rPr>
              <w:t>，免拆解</w:t>
            </w:r>
            <w:r>
              <w:rPr>
                <w:rFonts w:hint="eastAsia" w:ascii="仿宋_GB2312" w:hAnsi="仿宋_GB2312" w:eastAsia="仿宋_GB2312" w:cs="仿宋_GB2312"/>
                <w:b w:val="0"/>
                <w:bCs w:val="0"/>
                <w:color w:val="000000"/>
                <w:kern w:val="0"/>
                <w:sz w:val="24"/>
                <w:szCs w:val="24"/>
                <w:u w:val="single"/>
              </w:rPr>
              <w:t xml:space="preserve">     </w:t>
            </w:r>
            <w:r>
              <w:rPr>
                <w:rFonts w:hint="eastAsia" w:ascii="仿宋_GB2312" w:hAnsi="仿宋_GB2312" w:eastAsia="仿宋_GB2312" w:cs="仿宋_GB2312"/>
                <w:b w:val="0"/>
                <w:bCs w:val="0"/>
                <w:color w:val="000000"/>
                <w:kern w:val="0"/>
                <w:sz w:val="24"/>
                <w:szCs w:val="24"/>
              </w:rPr>
              <w:t>台</w:t>
            </w:r>
            <w:r>
              <w:rPr>
                <w:rFonts w:hint="eastAsia" w:ascii="仿宋_GB2312" w:hAnsi="仿宋_GB2312" w:cs="仿宋_GB2312"/>
                <w:b w:val="0"/>
                <w:bCs w:val="0"/>
                <w:color w:val="000000"/>
                <w:kern w:val="0"/>
                <w:sz w:val="24"/>
                <w:szCs w:val="24"/>
                <w:lang w:eastAsia="zh-CN"/>
              </w:rPr>
              <w:t>。</w:t>
            </w:r>
          </w:p>
        </w:tc>
      </w:tr>
      <w:tr>
        <w:tblPrEx>
          <w:tblCellMar>
            <w:top w:w="0" w:type="dxa"/>
            <w:left w:w="0" w:type="dxa"/>
            <w:bottom w:w="0" w:type="dxa"/>
            <w:right w:w="0" w:type="dxa"/>
          </w:tblCellMar>
        </w:tblPrEx>
        <w:trPr>
          <w:trHeight w:val="90" w:hRule="atLeast"/>
        </w:trPr>
        <w:tc>
          <w:tcPr>
            <w:tcW w:w="9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kern w:val="0"/>
                <w:sz w:val="24"/>
                <w:szCs w:val="24"/>
              </w:rPr>
              <w:t>2</w:t>
            </w:r>
          </w:p>
        </w:tc>
        <w:tc>
          <w:tcPr>
            <w:tcW w:w="35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outlineLvl w:val="9"/>
              <w:rPr>
                <w:rFonts w:hint="eastAsia" w:ascii="仿宋_GB2312" w:hAnsi="仿宋_GB2312" w:eastAsia="仿宋_GB2312" w:cs="仿宋_GB2312"/>
                <w:b w:val="0"/>
                <w:bCs w:val="0"/>
                <w:color w:val="000000"/>
                <w:sz w:val="24"/>
                <w:szCs w:val="24"/>
              </w:rPr>
            </w:pPr>
            <w:r>
              <w:rPr>
                <w:rFonts w:hint="default" w:ascii="仿宋_GB2312" w:hAnsi="仿宋_GB2312" w:eastAsia="仿宋_GB2312" w:cs="仿宋_GB2312"/>
                <w:b w:val="0"/>
                <w:bCs w:val="0"/>
                <w:color w:val="000000"/>
                <w:kern w:val="0"/>
                <w:sz w:val="24"/>
                <w:szCs w:val="24"/>
              </w:rPr>
              <w:t>更换鼓式制动器松闸顶杆</w:t>
            </w:r>
          </w:p>
        </w:tc>
        <w:tc>
          <w:tcPr>
            <w:tcW w:w="43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360" w:lineRule="auto"/>
              <w:jc w:val="left"/>
              <w:textAlignment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排查</w:t>
            </w:r>
            <w:r>
              <w:rPr>
                <w:rFonts w:hint="eastAsia" w:ascii="仿宋_GB2312" w:hAnsi="仿宋_GB2312" w:eastAsia="仿宋_GB2312" w:cs="仿宋_GB2312"/>
                <w:b w:val="0"/>
                <w:bCs w:val="0"/>
                <w:color w:val="000000"/>
                <w:kern w:val="0"/>
                <w:sz w:val="24"/>
                <w:szCs w:val="24"/>
                <w:u w:val="single"/>
              </w:rPr>
              <w:t xml:space="preserve">     </w:t>
            </w:r>
            <w:r>
              <w:rPr>
                <w:rFonts w:hint="eastAsia" w:ascii="仿宋_GB2312" w:hAnsi="仿宋_GB2312" w:eastAsia="仿宋_GB2312" w:cs="仿宋_GB2312"/>
                <w:b w:val="0"/>
                <w:bCs w:val="0"/>
                <w:color w:val="000000"/>
                <w:kern w:val="0"/>
                <w:sz w:val="24"/>
                <w:szCs w:val="24"/>
              </w:rPr>
              <w:t>台，需更换</w:t>
            </w:r>
            <w:r>
              <w:rPr>
                <w:rFonts w:hint="eastAsia" w:ascii="仿宋_GB2312" w:hAnsi="仿宋_GB2312" w:eastAsia="仿宋_GB2312" w:cs="仿宋_GB2312"/>
                <w:b w:val="0"/>
                <w:bCs w:val="0"/>
                <w:color w:val="000000"/>
                <w:kern w:val="0"/>
                <w:sz w:val="24"/>
                <w:szCs w:val="24"/>
                <w:lang w:eastAsia="zh-CN"/>
              </w:rPr>
              <w:t>铁质等导磁</w:t>
            </w:r>
            <w:r>
              <w:rPr>
                <w:rFonts w:hint="eastAsia" w:ascii="仿宋_GB2312" w:hAnsi="仿宋_GB2312" w:cs="仿宋_GB2312"/>
                <w:b w:val="0"/>
                <w:bCs w:val="0"/>
                <w:color w:val="000000"/>
                <w:kern w:val="0"/>
                <w:sz w:val="24"/>
                <w:szCs w:val="24"/>
                <w:lang w:eastAsia="zh-CN"/>
              </w:rPr>
              <w:t>材料</w:t>
            </w:r>
            <w:r>
              <w:rPr>
                <w:rFonts w:hint="eastAsia" w:ascii="仿宋_GB2312" w:hAnsi="仿宋_GB2312" w:eastAsia="仿宋_GB2312" w:cs="仿宋_GB2312"/>
                <w:b w:val="0"/>
                <w:bCs w:val="0"/>
                <w:color w:val="000000"/>
                <w:kern w:val="0"/>
                <w:sz w:val="24"/>
                <w:szCs w:val="24"/>
              </w:rPr>
              <w:t>松闸</w:t>
            </w:r>
          </w:p>
          <w:p>
            <w:pPr>
              <w:widowControl w:val="0"/>
              <w:spacing w:line="360" w:lineRule="auto"/>
              <w:jc w:val="left"/>
              <w:textAlignment w:val="auto"/>
              <w:outlineLvl w:val="9"/>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kern w:val="0"/>
                <w:sz w:val="24"/>
                <w:szCs w:val="24"/>
                <w:lang w:eastAsia="zh-CN"/>
              </w:rPr>
              <w:t>顶</w:t>
            </w:r>
            <w:r>
              <w:rPr>
                <w:rFonts w:hint="eastAsia" w:ascii="仿宋_GB2312" w:hAnsi="仿宋_GB2312" w:eastAsia="仿宋_GB2312" w:cs="仿宋_GB2312"/>
                <w:b w:val="0"/>
                <w:bCs w:val="0"/>
                <w:color w:val="000000"/>
                <w:kern w:val="0"/>
                <w:sz w:val="24"/>
                <w:szCs w:val="24"/>
              </w:rPr>
              <w:t>杆</w:t>
            </w:r>
            <w:r>
              <w:rPr>
                <w:rFonts w:hint="eastAsia" w:ascii="仿宋_GB2312" w:hAnsi="仿宋_GB2312" w:eastAsia="仿宋_GB2312" w:cs="仿宋_GB2312"/>
                <w:b w:val="0"/>
                <w:bCs w:val="0"/>
                <w:color w:val="000000"/>
                <w:kern w:val="0"/>
                <w:sz w:val="24"/>
                <w:szCs w:val="24"/>
                <w:u w:val="single"/>
              </w:rPr>
              <w:t xml:space="preserve">     </w:t>
            </w:r>
            <w:r>
              <w:rPr>
                <w:rFonts w:hint="eastAsia" w:ascii="仿宋_GB2312" w:hAnsi="仿宋_GB2312" w:eastAsia="仿宋_GB2312" w:cs="仿宋_GB2312"/>
                <w:b w:val="0"/>
                <w:bCs w:val="0"/>
                <w:color w:val="000000"/>
                <w:kern w:val="0"/>
                <w:sz w:val="24"/>
                <w:szCs w:val="24"/>
              </w:rPr>
              <w:t>台</w:t>
            </w:r>
            <w:r>
              <w:rPr>
                <w:rFonts w:hint="eastAsia" w:ascii="仿宋_GB2312" w:hAnsi="仿宋_GB2312" w:cs="仿宋_GB2312"/>
                <w:b w:val="0"/>
                <w:bCs w:val="0"/>
                <w:color w:val="000000"/>
                <w:kern w:val="0"/>
                <w:sz w:val="24"/>
                <w:szCs w:val="24"/>
                <w:lang w:eastAsia="zh-CN"/>
              </w:rPr>
              <w:t>。</w:t>
            </w:r>
          </w:p>
        </w:tc>
      </w:tr>
      <w:tr>
        <w:tblPrEx>
          <w:tblCellMar>
            <w:top w:w="0" w:type="dxa"/>
            <w:left w:w="0" w:type="dxa"/>
            <w:bottom w:w="0" w:type="dxa"/>
            <w:right w:w="0" w:type="dxa"/>
          </w:tblCellMar>
        </w:tblPrEx>
        <w:trPr>
          <w:trHeight w:val="480" w:hRule="atLeast"/>
        </w:trPr>
        <w:tc>
          <w:tcPr>
            <w:tcW w:w="451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val="0"/>
                <w:bCs w:val="0"/>
                <w:color w:val="000000"/>
                <w:sz w:val="24"/>
                <w:szCs w:val="24"/>
              </w:rPr>
            </w:pPr>
            <w:r>
              <w:rPr>
                <w:rFonts w:hint="eastAsia" w:ascii="仿宋_GB2312" w:hAnsi="仿宋_GB2312" w:eastAsia="仿宋_GB2312" w:cs="仿宋_GB2312"/>
                <w:b w:val="0"/>
                <w:bCs w:val="0"/>
                <w:color w:val="000000"/>
                <w:kern w:val="0"/>
                <w:sz w:val="24"/>
                <w:szCs w:val="24"/>
              </w:rPr>
              <w:t>计划整改完成时间</w:t>
            </w:r>
          </w:p>
        </w:tc>
        <w:tc>
          <w:tcPr>
            <w:tcW w:w="43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b w:val="0"/>
                <w:bCs w:val="0"/>
                <w:color w:val="000000"/>
                <w:sz w:val="24"/>
                <w:szCs w:val="24"/>
              </w:rPr>
            </w:pPr>
          </w:p>
        </w:tc>
      </w:tr>
    </w:tbl>
    <w:p>
      <w:pPr>
        <w:pStyle w:val="2"/>
        <w:ind w:left="0" w:leftChars="0" w:firstLine="0" w:firstLineChars="0"/>
      </w:pPr>
    </w:p>
    <w:p>
      <w:pPr>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lang w:val="en-US" w:eastAsia="zh-CN"/>
        </w:rPr>
        <w:br w:type="page"/>
      </w:r>
    </w:p>
    <w:p>
      <w:pPr>
        <w:rPr>
          <w:rFonts w:hint="eastAsia" w:ascii="Times New Roman" w:hAnsi="Times New Roman" w:eastAsia="黑体" w:cs="黑体"/>
          <w:sz w:val="32"/>
          <w:szCs w:val="32"/>
        </w:rPr>
      </w:pPr>
      <w:r>
        <w:rPr>
          <w:rFonts w:hint="eastAsia" w:ascii="Times New Roman" w:hAnsi="Times New Roman" w:eastAsia="黑体" w:cs="黑体"/>
          <w:sz w:val="32"/>
          <w:szCs w:val="32"/>
        </w:rPr>
        <w:t>附件3</w:t>
      </w:r>
    </w:p>
    <w:p>
      <w:pPr>
        <w:spacing w:line="600" w:lineRule="exact"/>
        <w:jc w:val="center"/>
        <w:rPr>
          <w:rFonts w:ascii="Times New Roman" w:hAnsi="Times New Roman" w:eastAsia="方正小标宋简体"/>
          <w:bCs/>
          <w:spacing w:val="4"/>
          <w:sz w:val="44"/>
          <w:szCs w:val="44"/>
        </w:rPr>
      </w:pPr>
      <w:bookmarkStart w:id="0" w:name="_GoBack"/>
      <w:bookmarkEnd w:id="0"/>
      <w:r>
        <w:rPr>
          <w:rFonts w:hint="eastAsia" w:ascii="Times New Roman" w:hAnsi="Times New Roman" w:eastAsia="方正小标宋简体"/>
          <w:bCs/>
          <w:spacing w:val="4"/>
          <w:sz w:val="44"/>
          <w:szCs w:val="44"/>
        </w:rPr>
        <w:t>电梯</w:t>
      </w:r>
      <w:r>
        <w:rPr>
          <w:rFonts w:hint="eastAsia" w:ascii="Times New Roman" w:hAnsi="Times New Roman" w:eastAsia="方正小标宋简体"/>
          <w:bCs/>
          <w:spacing w:val="4"/>
          <w:sz w:val="44"/>
          <w:szCs w:val="44"/>
          <w:lang w:eastAsia="zh-CN"/>
        </w:rPr>
        <w:t>鼓式</w:t>
      </w:r>
      <w:r>
        <w:rPr>
          <w:rFonts w:hint="eastAsia" w:ascii="Times New Roman" w:hAnsi="Times New Roman" w:eastAsia="方正小标宋简体"/>
          <w:bCs/>
          <w:spacing w:val="4"/>
          <w:sz w:val="44"/>
          <w:szCs w:val="44"/>
        </w:rPr>
        <w:t>制动器专项排查治理汇总表</w:t>
      </w:r>
    </w:p>
    <w:p>
      <w:pPr>
        <w:adjustRightInd w:val="0"/>
        <w:snapToGrid w:val="0"/>
        <w:spacing w:line="400" w:lineRule="exact"/>
        <w:ind w:firstLine="224" w:firstLineChars="100"/>
        <w:jc w:val="left"/>
        <w:rPr>
          <w:rFonts w:ascii="Times New Roman" w:hAnsi="Times New Roman" w:cs="仿宋_GB2312"/>
          <w:sz w:val="24"/>
        </w:rPr>
      </w:pPr>
    </w:p>
    <w:p>
      <w:pPr>
        <w:adjustRightInd w:val="0"/>
        <w:snapToGrid w:val="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填报单位（盖章</w:t>
      </w:r>
      <w:r>
        <w:rPr>
          <w:rFonts w:hint="eastAsia" w:ascii="仿宋_GB2312" w:hAnsi="仿宋_GB2312" w:cs="仿宋_GB2312"/>
          <w:color w:val="000000"/>
          <w:sz w:val="24"/>
          <w:szCs w:val="24"/>
          <w:lang w:eastAsia="zh-CN"/>
        </w:rPr>
        <w:t>）：</w:t>
      </w:r>
      <w:r>
        <w:rPr>
          <w:rFonts w:hint="eastAsia" w:ascii="仿宋_GB2312" w:hAnsi="仿宋_GB2312" w:eastAsia="仿宋_GB2312" w:cs="仿宋_GB2312"/>
          <w:color w:val="000000"/>
          <w:sz w:val="24"/>
          <w:szCs w:val="24"/>
        </w:rPr>
        <w:t xml:space="preserve">                                                         填报日期：</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331"/>
        <w:gridCol w:w="1330"/>
        <w:gridCol w:w="1330"/>
        <w:gridCol w:w="1331"/>
        <w:gridCol w:w="1330"/>
        <w:gridCol w:w="1330"/>
        <w:gridCol w:w="1331"/>
        <w:gridCol w:w="1331"/>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91" w:type="dxa"/>
            <w:gridSpan w:val="3"/>
            <w:noWrap w:val="0"/>
            <w:vAlign w:val="center"/>
          </w:tcPr>
          <w:p>
            <w:pPr>
              <w:spacing w:line="400" w:lineRule="exact"/>
              <w:jc w:val="center"/>
              <w:rPr>
                <w:rFonts w:hint="eastAsia"/>
                <w:sz w:val="24"/>
                <w:szCs w:val="24"/>
              </w:rPr>
            </w:pPr>
            <w:r>
              <w:rPr>
                <w:rFonts w:hint="eastAsia"/>
                <w:sz w:val="24"/>
                <w:szCs w:val="24"/>
              </w:rPr>
              <w:t>使用单位制动器排查情况</w:t>
            </w:r>
          </w:p>
          <w:p>
            <w:pPr>
              <w:pStyle w:val="2"/>
              <w:jc w:val="center"/>
              <w:rPr>
                <w:rFonts w:hint="eastAsia" w:eastAsia="仿宋_GB2312"/>
                <w:sz w:val="24"/>
                <w:szCs w:val="24"/>
                <w:lang w:eastAsia="zh-CN"/>
              </w:rPr>
            </w:pPr>
            <w:r>
              <w:rPr>
                <w:rFonts w:hint="eastAsia" w:ascii="Calibri" w:hAnsi="Calibri" w:eastAsia="仿宋_GB2312" w:cs="Times New Roman"/>
                <w:kern w:val="2"/>
                <w:sz w:val="24"/>
                <w:szCs w:val="24"/>
                <w:lang w:val="en-US" w:eastAsia="zh-CN" w:bidi="ar-SA"/>
              </w:rPr>
              <w:t>（单位：台）</w:t>
            </w:r>
          </w:p>
        </w:tc>
        <w:tc>
          <w:tcPr>
            <w:tcW w:w="7983" w:type="dxa"/>
            <w:gridSpan w:val="6"/>
            <w:noWrap w:val="0"/>
            <w:vAlign w:val="center"/>
          </w:tcPr>
          <w:p>
            <w:pPr>
              <w:spacing w:line="400" w:lineRule="exact"/>
              <w:jc w:val="center"/>
              <w:rPr>
                <w:rFonts w:hint="eastAsia"/>
                <w:sz w:val="24"/>
                <w:szCs w:val="24"/>
              </w:rPr>
            </w:pPr>
            <w:r>
              <w:rPr>
                <w:rFonts w:hint="eastAsia"/>
                <w:sz w:val="24"/>
                <w:szCs w:val="24"/>
              </w:rPr>
              <w:t>检验、检测机构</w:t>
            </w:r>
            <w:r>
              <w:rPr>
                <w:rFonts w:hint="eastAsia"/>
                <w:sz w:val="24"/>
                <w:szCs w:val="24"/>
                <w:lang w:eastAsia="zh-CN"/>
              </w:rPr>
              <w:t>查验</w:t>
            </w:r>
            <w:r>
              <w:rPr>
                <w:rFonts w:hint="eastAsia"/>
                <w:sz w:val="24"/>
                <w:szCs w:val="24"/>
              </w:rPr>
              <w:t>制动器隐患治理情况</w:t>
            </w:r>
          </w:p>
          <w:p>
            <w:pPr>
              <w:pStyle w:val="2"/>
              <w:jc w:val="center"/>
              <w:rPr>
                <w:rFonts w:hint="eastAsia"/>
                <w:sz w:val="24"/>
                <w:szCs w:val="24"/>
              </w:rPr>
            </w:pPr>
            <w:r>
              <w:rPr>
                <w:rFonts w:hint="eastAsia" w:ascii="Calibri" w:hAnsi="Calibri" w:eastAsia="仿宋_GB2312" w:cs="Times New Roman"/>
                <w:kern w:val="2"/>
                <w:sz w:val="24"/>
                <w:szCs w:val="24"/>
                <w:lang w:val="en-US" w:eastAsia="zh-CN" w:bidi="ar-SA"/>
              </w:rPr>
              <w:t>（单位：台）</w:t>
            </w:r>
          </w:p>
        </w:tc>
        <w:tc>
          <w:tcPr>
            <w:tcW w:w="1926" w:type="dxa"/>
            <w:noWrap w:val="0"/>
            <w:vAlign w:val="center"/>
          </w:tcPr>
          <w:p>
            <w:pPr>
              <w:spacing w:line="4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市场监管部门发现的其他</w:t>
            </w:r>
          </w:p>
          <w:p>
            <w:pPr>
              <w:spacing w:line="4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jc w:val="center"/>
        </w:trPr>
        <w:tc>
          <w:tcPr>
            <w:tcW w:w="1330" w:type="dxa"/>
            <w:noWrap w:val="0"/>
            <w:vAlign w:val="center"/>
          </w:tcPr>
          <w:p>
            <w:pPr>
              <w:spacing w:beforeLines="50" w:afterLine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电梯数量</w:t>
            </w:r>
            <w:r>
              <w:rPr>
                <w:rFonts w:hint="eastAsia" w:ascii="仿宋_GB2312" w:hAnsi="仿宋_GB2312" w:eastAsia="仿宋_GB2312" w:cs="仿宋_GB2312"/>
                <w:color w:val="000000"/>
                <w:sz w:val="24"/>
                <w:szCs w:val="24"/>
                <w:lang w:val="en-US" w:eastAsia="zh-CN"/>
              </w:rPr>
              <w:t>(拆解保养</w:t>
            </w:r>
            <w:r>
              <w:rPr>
                <w:rFonts w:hint="eastAsia" w:ascii="仿宋_GB2312" w:hAnsi="仿宋_GB2312" w:eastAsia="仿宋_GB2312" w:cs="仿宋_GB2312"/>
                <w:color w:val="000000"/>
                <w:sz w:val="24"/>
                <w:szCs w:val="24"/>
              </w:rPr>
              <w:t>电磁铁</w:t>
            </w:r>
            <w:r>
              <w:rPr>
                <w:rFonts w:hint="eastAsia" w:ascii="仿宋_GB2312" w:hAnsi="仿宋_GB2312" w:eastAsia="仿宋_GB2312" w:cs="仿宋_GB2312"/>
                <w:color w:val="000000"/>
                <w:sz w:val="24"/>
                <w:szCs w:val="24"/>
                <w:lang w:val="en-US" w:eastAsia="zh-CN"/>
              </w:rPr>
              <w:t>)</w:t>
            </w:r>
          </w:p>
        </w:tc>
        <w:tc>
          <w:tcPr>
            <w:tcW w:w="1331" w:type="dxa"/>
            <w:noWrap w:val="0"/>
            <w:vAlign w:val="center"/>
          </w:tcPr>
          <w:p>
            <w:pPr>
              <w:spacing w:beforeLines="50" w:afterLine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电梯数量</w:t>
            </w:r>
            <w:r>
              <w:rPr>
                <w:rFonts w:hint="eastAsia" w:ascii="仿宋_GB2312" w:hAnsi="仿宋_GB2312" w:eastAsia="仿宋_GB2312" w:cs="仿宋_GB2312"/>
                <w:color w:val="000000"/>
                <w:sz w:val="24"/>
                <w:szCs w:val="24"/>
                <w:lang w:val="en-US" w:eastAsia="zh-CN"/>
              </w:rPr>
              <w:t>(免拆解</w:t>
            </w:r>
            <w:r>
              <w:rPr>
                <w:rFonts w:hint="eastAsia" w:ascii="仿宋_GB2312" w:hAnsi="仿宋_GB2312" w:eastAsia="仿宋_GB2312" w:cs="仿宋_GB2312"/>
                <w:color w:val="000000"/>
                <w:sz w:val="24"/>
                <w:szCs w:val="24"/>
              </w:rPr>
              <w:t>电磁铁</w:t>
            </w:r>
            <w:r>
              <w:rPr>
                <w:rFonts w:hint="eastAsia" w:ascii="仿宋_GB2312" w:hAnsi="仿宋_GB2312" w:eastAsia="仿宋_GB2312" w:cs="仿宋_GB2312"/>
                <w:color w:val="000000"/>
                <w:sz w:val="24"/>
                <w:szCs w:val="24"/>
                <w:lang w:val="en-US" w:eastAsia="zh-CN"/>
              </w:rPr>
              <w:t>)</w:t>
            </w:r>
          </w:p>
        </w:tc>
        <w:tc>
          <w:tcPr>
            <w:tcW w:w="1330" w:type="dxa"/>
            <w:noWrap w:val="0"/>
            <w:vAlign w:val="center"/>
          </w:tcPr>
          <w:p>
            <w:pPr>
              <w:spacing w:beforeLines="50" w:afterLines="50"/>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电梯数量</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更换铁质</w:t>
            </w:r>
            <w:r>
              <w:rPr>
                <w:rFonts w:hint="eastAsia" w:ascii="仿宋_GB2312" w:hAnsi="仿宋_GB2312" w:eastAsia="仿宋_GB2312" w:cs="仿宋_GB2312"/>
                <w:color w:val="000000"/>
                <w:sz w:val="24"/>
                <w:szCs w:val="24"/>
                <w:lang w:eastAsia="zh-CN"/>
              </w:rPr>
              <w:t>等导磁材料</w:t>
            </w:r>
            <w:r>
              <w:rPr>
                <w:rFonts w:hint="eastAsia" w:ascii="仿宋_GB2312" w:hAnsi="仿宋_GB2312" w:eastAsia="仿宋_GB2312" w:cs="仿宋_GB2312"/>
                <w:color w:val="000000"/>
                <w:sz w:val="24"/>
                <w:szCs w:val="24"/>
              </w:rPr>
              <w:t>松闸</w:t>
            </w:r>
            <w:r>
              <w:rPr>
                <w:rFonts w:hint="eastAsia" w:ascii="仿宋_GB2312" w:hAnsi="仿宋_GB2312" w:eastAsia="仿宋_GB2312" w:cs="仿宋_GB2312"/>
                <w:color w:val="000000"/>
                <w:sz w:val="24"/>
                <w:szCs w:val="24"/>
                <w:lang w:eastAsia="zh-CN"/>
              </w:rPr>
              <w:t>顶</w:t>
            </w:r>
            <w:r>
              <w:rPr>
                <w:rFonts w:hint="eastAsia" w:ascii="仿宋_GB2312" w:hAnsi="仿宋_GB2312" w:eastAsia="仿宋_GB2312" w:cs="仿宋_GB2312"/>
                <w:color w:val="000000"/>
                <w:sz w:val="24"/>
                <w:szCs w:val="24"/>
              </w:rPr>
              <w:t>杆</w:t>
            </w:r>
            <w:r>
              <w:rPr>
                <w:rFonts w:hint="eastAsia" w:ascii="仿宋_GB2312" w:hAnsi="仿宋_GB2312" w:eastAsia="仿宋_GB2312" w:cs="仿宋_GB2312"/>
                <w:color w:val="000000"/>
                <w:sz w:val="24"/>
                <w:szCs w:val="24"/>
                <w:lang w:eastAsia="zh-CN"/>
              </w:rPr>
              <w:t>）</w:t>
            </w:r>
          </w:p>
        </w:tc>
        <w:tc>
          <w:tcPr>
            <w:tcW w:w="1330" w:type="dxa"/>
            <w:noWrap w:val="0"/>
            <w:vAlign w:val="center"/>
          </w:tcPr>
          <w:p>
            <w:pPr>
              <w:spacing w:beforeLines="50" w:afterLine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电梯数量</w:t>
            </w:r>
            <w:r>
              <w:rPr>
                <w:rFonts w:hint="eastAsia" w:ascii="仿宋_GB2312" w:hAnsi="仿宋_GB2312" w:eastAsia="仿宋_GB2312" w:cs="仿宋_GB2312"/>
                <w:color w:val="000000"/>
                <w:sz w:val="24"/>
                <w:szCs w:val="24"/>
                <w:lang w:val="en-US" w:eastAsia="zh-CN"/>
              </w:rPr>
              <w:t>(已拆解保养</w:t>
            </w:r>
            <w:r>
              <w:rPr>
                <w:rFonts w:hint="eastAsia" w:ascii="仿宋_GB2312" w:hAnsi="仿宋_GB2312" w:eastAsia="仿宋_GB2312" w:cs="仿宋_GB2312"/>
                <w:color w:val="000000"/>
                <w:sz w:val="24"/>
                <w:szCs w:val="24"/>
              </w:rPr>
              <w:t>电磁铁</w:t>
            </w:r>
            <w:r>
              <w:rPr>
                <w:rFonts w:hint="eastAsia" w:ascii="仿宋_GB2312" w:hAnsi="仿宋_GB2312" w:eastAsia="仿宋_GB2312" w:cs="仿宋_GB2312"/>
                <w:color w:val="000000"/>
                <w:sz w:val="24"/>
                <w:szCs w:val="24"/>
                <w:lang w:val="en-US" w:eastAsia="zh-CN"/>
              </w:rPr>
              <w:t>)</w:t>
            </w:r>
          </w:p>
        </w:tc>
        <w:tc>
          <w:tcPr>
            <w:tcW w:w="1331" w:type="dxa"/>
            <w:noWrap w:val="0"/>
            <w:vAlign w:val="center"/>
          </w:tcPr>
          <w:p>
            <w:pPr>
              <w:spacing w:beforeLines="50" w:afterLine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电梯数量</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lang w:eastAsia="zh-CN"/>
              </w:rPr>
              <w:t>已检查</w:t>
            </w:r>
            <w:r>
              <w:rPr>
                <w:rFonts w:hint="eastAsia" w:ascii="仿宋_GB2312" w:hAnsi="仿宋_GB2312" w:eastAsia="仿宋_GB2312" w:cs="仿宋_GB2312"/>
                <w:color w:val="000000"/>
                <w:sz w:val="24"/>
                <w:szCs w:val="24"/>
                <w:lang w:val="en-US" w:eastAsia="zh-CN"/>
              </w:rPr>
              <w:t>免拆解</w:t>
            </w:r>
            <w:r>
              <w:rPr>
                <w:rFonts w:hint="eastAsia" w:ascii="仿宋_GB2312" w:hAnsi="仿宋_GB2312" w:eastAsia="仿宋_GB2312" w:cs="仿宋_GB2312"/>
                <w:color w:val="000000"/>
                <w:sz w:val="24"/>
                <w:szCs w:val="24"/>
              </w:rPr>
              <w:t>电磁铁</w:t>
            </w:r>
            <w:r>
              <w:rPr>
                <w:rFonts w:hint="eastAsia" w:ascii="仿宋_GB2312" w:hAnsi="仿宋_GB2312" w:eastAsia="仿宋_GB2312" w:cs="仿宋_GB2312"/>
                <w:color w:val="000000"/>
                <w:sz w:val="24"/>
                <w:szCs w:val="24"/>
                <w:lang w:val="en-US" w:eastAsia="zh-CN"/>
              </w:rPr>
              <w:t>)</w:t>
            </w:r>
          </w:p>
        </w:tc>
        <w:tc>
          <w:tcPr>
            <w:tcW w:w="1330" w:type="dxa"/>
            <w:noWrap w:val="0"/>
            <w:vAlign w:val="center"/>
          </w:tcPr>
          <w:p>
            <w:pPr>
              <w:spacing w:beforeLines="50" w:afterLine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电梯数量</w:t>
            </w:r>
            <w:r>
              <w:rPr>
                <w:rFonts w:hint="eastAsia" w:ascii="仿宋_GB2312" w:hAnsi="仿宋_GB2312" w:eastAsia="仿宋_GB2312" w:cs="仿宋_GB2312"/>
                <w:color w:val="000000"/>
                <w:sz w:val="24"/>
                <w:szCs w:val="24"/>
                <w:lang w:val="en-US" w:eastAsia="zh-CN"/>
              </w:rPr>
              <w:t>(已</w:t>
            </w:r>
            <w:r>
              <w:rPr>
                <w:rFonts w:hint="eastAsia" w:ascii="仿宋_GB2312" w:hAnsi="仿宋_GB2312" w:eastAsia="仿宋_GB2312" w:cs="仿宋_GB2312"/>
                <w:color w:val="000000"/>
                <w:sz w:val="24"/>
                <w:szCs w:val="24"/>
              </w:rPr>
              <w:t>更换铁质</w:t>
            </w:r>
            <w:r>
              <w:rPr>
                <w:rFonts w:hint="eastAsia" w:ascii="仿宋_GB2312" w:hAnsi="仿宋_GB2312" w:eastAsia="仿宋_GB2312" w:cs="仿宋_GB2312"/>
                <w:color w:val="000000"/>
                <w:sz w:val="24"/>
                <w:szCs w:val="24"/>
                <w:lang w:eastAsia="zh-CN"/>
              </w:rPr>
              <w:t>等导磁材料</w:t>
            </w:r>
            <w:r>
              <w:rPr>
                <w:rFonts w:hint="eastAsia" w:ascii="仿宋_GB2312" w:hAnsi="仿宋_GB2312" w:eastAsia="仿宋_GB2312" w:cs="仿宋_GB2312"/>
                <w:color w:val="000000"/>
                <w:sz w:val="24"/>
                <w:szCs w:val="24"/>
              </w:rPr>
              <w:t>松闸</w:t>
            </w:r>
            <w:r>
              <w:rPr>
                <w:rFonts w:hint="eastAsia" w:ascii="仿宋_GB2312" w:hAnsi="仿宋_GB2312" w:eastAsia="仿宋_GB2312" w:cs="仿宋_GB2312"/>
                <w:color w:val="000000"/>
                <w:sz w:val="24"/>
                <w:szCs w:val="24"/>
                <w:lang w:eastAsia="zh-CN"/>
              </w:rPr>
              <w:t>顶</w:t>
            </w:r>
            <w:r>
              <w:rPr>
                <w:rFonts w:hint="eastAsia" w:ascii="仿宋_GB2312" w:hAnsi="仿宋_GB2312" w:eastAsia="仿宋_GB2312" w:cs="仿宋_GB2312"/>
                <w:color w:val="000000"/>
                <w:sz w:val="24"/>
                <w:szCs w:val="24"/>
              </w:rPr>
              <w:t>杆</w:t>
            </w:r>
            <w:r>
              <w:rPr>
                <w:rFonts w:hint="eastAsia" w:ascii="仿宋_GB2312" w:hAnsi="仿宋_GB2312" w:eastAsia="仿宋_GB2312" w:cs="仿宋_GB2312"/>
                <w:color w:val="000000"/>
                <w:sz w:val="24"/>
                <w:szCs w:val="24"/>
                <w:lang w:eastAsia="zh-CN"/>
              </w:rPr>
              <w:t>）</w:t>
            </w:r>
          </w:p>
        </w:tc>
        <w:tc>
          <w:tcPr>
            <w:tcW w:w="1330" w:type="dxa"/>
            <w:noWrap w:val="0"/>
            <w:vAlign w:val="center"/>
          </w:tcPr>
          <w:p>
            <w:pPr>
              <w:spacing w:beforeLines="50" w:afterLines="5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电梯数量</w:t>
            </w:r>
            <w:r>
              <w:rPr>
                <w:rFonts w:hint="eastAsia" w:ascii="仿宋_GB2312" w:hAnsi="仿宋_GB2312" w:eastAsia="仿宋_GB2312" w:cs="仿宋_GB2312"/>
                <w:color w:val="000000"/>
                <w:sz w:val="24"/>
                <w:szCs w:val="24"/>
                <w:lang w:val="en-US" w:eastAsia="zh-CN"/>
              </w:rPr>
              <w:t>(未拆解保养</w:t>
            </w:r>
            <w:r>
              <w:rPr>
                <w:rFonts w:hint="eastAsia" w:ascii="仿宋_GB2312" w:hAnsi="仿宋_GB2312" w:eastAsia="仿宋_GB2312" w:cs="仿宋_GB2312"/>
                <w:color w:val="000000"/>
                <w:sz w:val="24"/>
                <w:szCs w:val="24"/>
              </w:rPr>
              <w:t>电磁铁</w:t>
            </w:r>
            <w:r>
              <w:rPr>
                <w:rFonts w:hint="eastAsia" w:ascii="仿宋_GB2312" w:hAnsi="仿宋_GB2312" w:eastAsia="仿宋_GB2312" w:cs="仿宋_GB2312"/>
                <w:color w:val="000000"/>
                <w:sz w:val="24"/>
                <w:szCs w:val="24"/>
                <w:lang w:val="en-US" w:eastAsia="zh-CN"/>
              </w:rPr>
              <w:t>)</w:t>
            </w:r>
          </w:p>
        </w:tc>
        <w:tc>
          <w:tcPr>
            <w:tcW w:w="1331" w:type="dxa"/>
            <w:noWrap w:val="0"/>
            <w:vAlign w:val="center"/>
          </w:tcPr>
          <w:p>
            <w:pPr>
              <w:spacing w:beforeLines="50" w:afterLine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电梯数量</w:t>
            </w: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lang w:eastAsia="zh-CN"/>
              </w:rPr>
              <w:t>未检查</w:t>
            </w:r>
            <w:r>
              <w:rPr>
                <w:rFonts w:hint="eastAsia" w:ascii="仿宋_GB2312" w:hAnsi="仿宋_GB2312" w:eastAsia="仿宋_GB2312" w:cs="仿宋_GB2312"/>
                <w:color w:val="000000"/>
                <w:sz w:val="24"/>
                <w:szCs w:val="24"/>
                <w:lang w:val="en-US" w:eastAsia="zh-CN"/>
              </w:rPr>
              <w:t>免拆解</w:t>
            </w:r>
            <w:r>
              <w:rPr>
                <w:rFonts w:hint="eastAsia" w:ascii="仿宋_GB2312" w:hAnsi="仿宋_GB2312" w:eastAsia="仿宋_GB2312" w:cs="仿宋_GB2312"/>
                <w:color w:val="000000"/>
                <w:sz w:val="24"/>
                <w:szCs w:val="24"/>
              </w:rPr>
              <w:t>电磁铁</w:t>
            </w:r>
            <w:r>
              <w:rPr>
                <w:rFonts w:hint="eastAsia" w:ascii="仿宋_GB2312" w:hAnsi="仿宋_GB2312" w:eastAsia="仿宋_GB2312" w:cs="仿宋_GB2312"/>
                <w:color w:val="000000"/>
                <w:sz w:val="24"/>
                <w:szCs w:val="24"/>
                <w:lang w:val="en-US" w:eastAsia="zh-CN"/>
              </w:rPr>
              <w:t>)</w:t>
            </w:r>
          </w:p>
        </w:tc>
        <w:tc>
          <w:tcPr>
            <w:tcW w:w="1331" w:type="dxa"/>
            <w:noWrap w:val="0"/>
            <w:vAlign w:val="center"/>
          </w:tcPr>
          <w:p>
            <w:pPr>
              <w:spacing w:beforeLines="50" w:afterLine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电梯数量</w:t>
            </w:r>
            <w:r>
              <w:rPr>
                <w:rFonts w:hint="eastAsia" w:ascii="仿宋_GB2312" w:hAnsi="仿宋_GB2312" w:eastAsia="仿宋_GB2312" w:cs="仿宋_GB2312"/>
                <w:color w:val="000000"/>
                <w:sz w:val="24"/>
                <w:szCs w:val="24"/>
                <w:lang w:val="en-US" w:eastAsia="zh-CN"/>
              </w:rPr>
              <w:t>(未</w:t>
            </w:r>
            <w:r>
              <w:rPr>
                <w:rFonts w:hint="eastAsia" w:ascii="仿宋_GB2312" w:hAnsi="仿宋_GB2312" w:eastAsia="仿宋_GB2312" w:cs="仿宋_GB2312"/>
                <w:color w:val="000000"/>
                <w:sz w:val="24"/>
                <w:szCs w:val="24"/>
              </w:rPr>
              <w:t>更换铁质</w:t>
            </w:r>
            <w:r>
              <w:rPr>
                <w:rFonts w:hint="eastAsia" w:ascii="仿宋_GB2312" w:hAnsi="仿宋_GB2312" w:eastAsia="仿宋_GB2312" w:cs="仿宋_GB2312"/>
                <w:color w:val="000000"/>
                <w:sz w:val="24"/>
                <w:szCs w:val="24"/>
                <w:lang w:eastAsia="zh-CN"/>
              </w:rPr>
              <w:t>等导磁材料</w:t>
            </w:r>
            <w:r>
              <w:rPr>
                <w:rFonts w:hint="eastAsia" w:ascii="仿宋_GB2312" w:hAnsi="仿宋_GB2312" w:eastAsia="仿宋_GB2312" w:cs="仿宋_GB2312"/>
                <w:color w:val="000000"/>
                <w:sz w:val="24"/>
                <w:szCs w:val="24"/>
              </w:rPr>
              <w:t>松闸</w:t>
            </w:r>
            <w:r>
              <w:rPr>
                <w:rFonts w:hint="eastAsia" w:ascii="仿宋_GB2312" w:hAnsi="仿宋_GB2312" w:eastAsia="仿宋_GB2312" w:cs="仿宋_GB2312"/>
                <w:color w:val="000000"/>
                <w:sz w:val="24"/>
                <w:szCs w:val="24"/>
                <w:lang w:eastAsia="zh-CN"/>
              </w:rPr>
              <w:t>顶</w:t>
            </w:r>
            <w:r>
              <w:rPr>
                <w:rFonts w:hint="eastAsia" w:ascii="仿宋_GB2312" w:hAnsi="仿宋_GB2312" w:eastAsia="仿宋_GB2312" w:cs="仿宋_GB2312"/>
                <w:color w:val="000000"/>
                <w:sz w:val="24"/>
                <w:szCs w:val="24"/>
              </w:rPr>
              <w:t>杆</w:t>
            </w:r>
            <w:r>
              <w:rPr>
                <w:rFonts w:hint="eastAsia" w:ascii="仿宋_GB2312" w:hAnsi="仿宋_GB2312" w:eastAsia="仿宋_GB2312" w:cs="仿宋_GB2312"/>
                <w:color w:val="000000"/>
                <w:sz w:val="24"/>
                <w:szCs w:val="24"/>
                <w:lang w:eastAsia="zh-CN"/>
              </w:rPr>
              <w:t>）</w:t>
            </w:r>
          </w:p>
        </w:tc>
        <w:tc>
          <w:tcPr>
            <w:tcW w:w="1926" w:type="dxa"/>
            <w:vMerge w:val="restart"/>
            <w:noWrap w:val="0"/>
            <w:vAlign w:val="center"/>
          </w:tcPr>
          <w:p>
            <w:pPr>
              <w:spacing w:beforeLines="50" w:afterLines="50"/>
              <w:jc w:val="center"/>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330" w:type="dxa"/>
            <w:noWrap w:val="0"/>
            <w:vAlign w:val="center"/>
          </w:tcPr>
          <w:p>
            <w:pPr>
              <w:spacing w:beforeLines="50" w:afterLines="50"/>
              <w:jc w:val="center"/>
              <w:rPr>
                <w:rFonts w:hint="eastAsia" w:ascii="仿宋_GB2312" w:hAnsi="仿宋_GB2312" w:eastAsia="仿宋_GB2312" w:cs="仿宋_GB2312"/>
                <w:color w:val="000000"/>
                <w:sz w:val="24"/>
                <w:szCs w:val="24"/>
              </w:rPr>
            </w:pPr>
          </w:p>
        </w:tc>
        <w:tc>
          <w:tcPr>
            <w:tcW w:w="1331" w:type="dxa"/>
            <w:noWrap w:val="0"/>
            <w:vAlign w:val="center"/>
          </w:tcPr>
          <w:p>
            <w:pPr>
              <w:spacing w:beforeLines="50" w:afterLines="50"/>
              <w:jc w:val="center"/>
              <w:rPr>
                <w:rFonts w:hint="eastAsia" w:ascii="仿宋_GB2312" w:hAnsi="仿宋_GB2312" w:eastAsia="仿宋_GB2312" w:cs="仿宋_GB2312"/>
                <w:color w:val="000000"/>
                <w:sz w:val="24"/>
                <w:szCs w:val="24"/>
              </w:rPr>
            </w:pPr>
          </w:p>
        </w:tc>
        <w:tc>
          <w:tcPr>
            <w:tcW w:w="1330" w:type="dxa"/>
            <w:noWrap w:val="0"/>
            <w:vAlign w:val="center"/>
          </w:tcPr>
          <w:p>
            <w:pPr>
              <w:spacing w:beforeLines="50" w:afterLines="50"/>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w:t>
            </w:r>
          </w:p>
        </w:tc>
        <w:tc>
          <w:tcPr>
            <w:tcW w:w="1330" w:type="dxa"/>
            <w:noWrap w:val="0"/>
            <w:vAlign w:val="center"/>
          </w:tcPr>
          <w:p>
            <w:pPr>
              <w:spacing w:beforeLines="50" w:afterLines="50"/>
              <w:jc w:val="center"/>
              <w:rPr>
                <w:rFonts w:hint="eastAsia" w:ascii="仿宋_GB2312" w:hAnsi="仿宋_GB2312" w:eastAsia="仿宋_GB2312" w:cs="仿宋_GB2312"/>
                <w:color w:val="000000"/>
                <w:sz w:val="24"/>
                <w:szCs w:val="24"/>
              </w:rPr>
            </w:pPr>
          </w:p>
        </w:tc>
        <w:tc>
          <w:tcPr>
            <w:tcW w:w="1331" w:type="dxa"/>
            <w:noWrap w:val="0"/>
            <w:vAlign w:val="center"/>
          </w:tcPr>
          <w:p>
            <w:pPr>
              <w:spacing w:beforeLines="50" w:afterLines="50"/>
              <w:jc w:val="center"/>
              <w:rPr>
                <w:rFonts w:hint="eastAsia" w:ascii="仿宋_GB2312" w:hAnsi="仿宋_GB2312" w:eastAsia="仿宋_GB2312" w:cs="仿宋_GB2312"/>
                <w:color w:val="000000"/>
                <w:sz w:val="24"/>
                <w:szCs w:val="24"/>
              </w:rPr>
            </w:pPr>
          </w:p>
        </w:tc>
        <w:tc>
          <w:tcPr>
            <w:tcW w:w="1330" w:type="dxa"/>
            <w:noWrap w:val="0"/>
            <w:vAlign w:val="center"/>
          </w:tcPr>
          <w:p>
            <w:pPr>
              <w:spacing w:beforeLines="50" w:afterLines="50"/>
              <w:jc w:val="center"/>
              <w:rPr>
                <w:rFonts w:hint="eastAsia" w:ascii="仿宋_GB2312" w:hAnsi="仿宋_GB2312" w:eastAsia="仿宋_GB2312" w:cs="仿宋_GB2312"/>
                <w:color w:val="000000"/>
                <w:sz w:val="24"/>
                <w:szCs w:val="24"/>
              </w:rPr>
            </w:pPr>
          </w:p>
        </w:tc>
        <w:tc>
          <w:tcPr>
            <w:tcW w:w="1330" w:type="dxa"/>
            <w:noWrap w:val="0"/>
            <w:vAlign w:val="center"/>
          </w:tcPr>
          <w:p>
            <w:pPr>
              <w:spacing w:beforeLines="50" w:afterLines="50"/>
              <w:jc w:val="center"/>
              <w:rPr>
                <w:rFonts w:hint="eastAsia" w:ascii="仿宋_GB2312" w:hAnsi="仿宋_GB2312" w:eastAsia="仿宋_GB2312" w:cs="仿宋_GB2312"/>
                <w:color w:val="000000"/>
                <w:sz w:val="24"/>
                <w:szCs w:val="24"/>
              </w:rPr>
            </w:pPr>
          </w:p>
        </w:tc>
        <w:tc>
          <w:tcPr>
            <w:tcW w:w="1331" w:type="dxa"/>
            <w:noWrap w:val="0"/>
            <w:vAlign w:val="center"/>
          </w:tcPr>
          <w:p>
            <w:pPr>
              <w:spacing w:beforeLines="50" w:afterLines="50"/>
              <w:jc w:val="center"/>
              <w:rPr>
                <w:rFonts w:hint="eastAsia" w:ascii="仿宋_GB2312" w:hAnsi="仿宋_GB2312" w:eastAsia="仿宋_GB2312" w:cs="仿宋_GB2312"/>
                <w:color w:val="000000"/>
                <w:sz w:val="24"/>
                <w:szCs w:val="24"/>
              </w:rPr>
            </w:pPr>
          </w:p>
        </w:tc>
        <w:tc>
          <w:tcPr>
            <w:tcW w:w="1331" w:type="dxa"/>
            <w:noWrap w:val="0"/>
            <w:vAlign w:val="center"/>
          </w:tcPr>
          <w:p>
            <w:pPr>
              <w:spacing w:beforeLines="50" w:afterLines="50"/>
              <w:jc w:val="center"/>
              <w:rPr>
                <w:rFonts w:hint="eastAsia" w:ascii="仿宋_GB2312" w:hAnsi="仿宋_GB2312" w:eastAsia="仿宋_GB2312" w:cs="仿宋_GB2312"/>
                <w:color w:val="000000"/>
                <w:sz w:val="24"/>
                <w:szCs w:val="24"/>
              </w:rPr>
            </w:pPr>
          </w:p>
        </w:tc>
        <w:tc>
          <w:tcPr>
            <w:tcW w:w="1926" w:type="dxa"/>
            <w:vMerge w:val="continue"/>
            <w:noWrap w:val="0"/>
            <w:vAlign w:val="center"/>
          </w:tcPr>
          <w:p>
            <w:pPr>
              <w:spacing w:beforeLines="50" w:afterLines="50"/>
              <w:jc w:val="center"/>
              <w:rPr>
                <w:rFonts w:hint="eastAsia" w:ascii="仿宋_GB2312" w:hAnsi="仿宋_GB2312" w:eastAsia="仿宋_GB2312" w:cs="仿宋_GB2312"/>
                <w:color w:val="000000"/>
                <w:sz w:val="24"/>
                <w:szCs w:val="24"/>
              </w:rPr>
            </w:pPr>
          </w:p>
        </w:tc>
      </w:tr>
    </w:tbl>
    <w:p>
      <w:pPr>
        <w:adjustRightInd w:val="0"/>
        <w:snapToGrid w:val="0"/>
        <w:jc w:val="left"/>
        <w:rPr>
          <w:rFonts w:hint="eastAsia" w:ascii="宋体" w:hAnsi="宋体" w:eastAsia="宋体" w:cs="宋体"/>
          <w:color w:val="000000"/>
          <w:sz w:val="28"/>
          <w:szCs w:val="28"/>
        </w:rPr>
      </w:pPr>
    </w:p>
    <w:p>
      <w:pPr>
        <w:spacing w:line="360" w:lineRule="exact"/>
        <w:jc w:val="left"/>
        <w:rPr>
          <w:rFonts w:hint="eastAsia" w:ascii="仿宋_GB2312" w:hAnsi="仿宋_GB2312" w:eastAsia="仿宋_GB2312" w:cs="仿宋_GB2312"/>
        </w:rPr>
      </w:pPr>
      <w:r>
        <w:rPr>
          <w:rFonts w:hint="eastAsia" w:ascii="仿宋_GB2312" w:hAnsi="仿宋_GB2312" w:eastAsia="仿宋_GB2312" w:cs="仿宋_GB2312"/>
          <w:sz w:val="24"/>
        </w:rPr>
        <w:t>注：本表由省级市场监管部门填写，盖章扫描后发送至</w:t>
      </w:r>
      <w:r>
        <w:rPr>
          <w:rFonts w:hint="eastAsia" w:ascii="Times New Roman" w:hAnsi="Times New Roman" w:eastAsia="仿宋_GB2312" w:cs="仿宋_GB2312"/>
          <w:sz w:val="24"/>
        </w:rPr>
        <w:t>tsjdtc@samr.gov.cn</w:t>
      </w:r>
      <w:r>
        <w:rPr>
          <w:rFonts w:hint="eastAsia" w:ascii="仿宋_GB2312" w:hAnsi="仿宋_GB2312" w:eastAsia="仿宋_GB2312" w:cs="仿宋_GB2312"/>
          <w:sz w:val="24"/>
        </w:rPr>
        <w:t>。</w:t>
      </w:r>
    </w:p>
    <w:p>
      <w:pPr>
        <w:pStyle w:val="2"/>
        <w:ind w:left="0" w:leftChars="0" w:firstLine="0" w:firstLineChars="0"/>
        <w:rPr>
          <w:rFonts w:hint="eastAsia"/>
          <w:lang w:val="en-US" w:eastAsia="zh-CN"/>
        </w:rPr>
      </w:pPr>
    </w:p>
    <w:sectPr>
      <w:footerReference r:id="rId3" w:type="default"/>
      <w:pgSz w:w="16838" w:h="11906" w:orient="landscape"/>
      <w:pgMar w:top="1984" w:right="1474" w:bottom="1644" w:left="1474" w:header="851" w:footer="1191" w:gutter="0"/>
      <w:pgNumType w:start="10"/>
      <w:cols w:space="720" w:num="1"/>
      <w:rtlGutter w:val="0"/>
      <w:docGrid w:type="linesAndChars" w:linePitch="292"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15" w:leftChars="150" w:right="315" w:rightChars="150"/>
      <w:outlineLvl w:val="9"/>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1</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DF7A7F"/>
    <w:rsid w:val="55AE3361"/>
    <w:rsid w:val="65A25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Body Text First Indent1"/>
    <w:basedOn w:val="3"/>
    <w:qFormat/>
    <w:uiPriority w:val="99"/>
    <w:pPr>
      <w:ind w:firstLine="420" w:firstLineChars="100"/>
    </w:pPr>
    <w:rPr>
      <w:rFonts w:eastAsia="宋体" w:cs="Calibri"/>
      <w:sz w:val="21"/>
      <w:szCs w:val="21"/>
    </w:r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2021-04-21T08:37:00Z</dcterms:created>
  <dc:creator>Administrator</dc:creator>
  <cp:lastModifiedBy>二宝 兴兴王</cp:lastModifiedBy>
  <dcterms:modified xsi:type="dcterms:W3CDTF">2021-05-25T04:08:03Z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59F07CFE62AB416997B3FCE137F5D3DF</vt:lpwstr>
  </property>
</Properties>
</file>