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CD014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香坊铁东哈尔滨筑鹏建筑工程有限公司</w:t>
      </w:r>
    </w:p>
    <w:p w14:paraId="0FDE06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rPr>
      </w:pPr>
      <w:r>
        <w:rPr>
          <w:rFonts w:hint="eastAsia" w:ascii="方正小标宋简体" w:hAnsi="方正小标宋简体" w:eastAsia="方正小标宋简体" w:cs="方正小标宋简体"/>
          <w:sz w:val="44"/>
          <w:szCs w:val="52"/>
        </w:rPr>
        <w:t>“9.17”一般高处坠落事故调查报告</w:t>
      </w:r>
    </w:p>
    <w:p w14:paraId="4A3F70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p>
    <w:p w14:paraId="3E3392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2022年9月17日7时左右，东北农业大学南区学生公寓外墙保温维修工程（一标段</w:t>
      </w:r>
      <w:bookmarkStart w:id="0" w:name="_GoBack"/>
      <w:bookmarkEnd w:id="0"/>
      <w:r>
        <w:rPr>
          <w:rFonts w:hint="eastAsia"/>
          <w:sz w:val="32"/>
          <w:szCs w:val="32"/>
        </w:rPr>
        <w:t>）外墙粉刷作业过程中，发生一起生产安全事故，造成一名施工人员高兴波高处坠落死亡，直接经济损失10</w:t>
      </w:r>
      <w:r>
        <w:rPr>
          <w:rFonts w:hint="eastAsia"/>
          <w:sz w:val="32"/>
          <w:szCs w:val="32"/>
          <w:lang w:val="en-US" w:eastAsia="zh-CN"/>
        </w:rPr>
        <w:t>4</w:t>
      </w:r>
      <w:r>
        <w:rPr>
          <w:rFonts w:hint="eastAsia"/>
          <w:sz w:val="32"/>
          <w:szCs w:val="32"/>
        </w:rPr>
        <w:t>.</w:t>
      </w:r>
      <w:r>
        <w:rPr>
          <w:rFonts w:hint="eastAsia"/>
          <w:sz w:val="32"/>
          <w:szCs w:val="32"/>
          <w:lang w:val="en-US" w:eastAsia="zh-CN"/>
        </w:rPr>
        <w:t>986</w:t>
      </w:r>
      <w:r>
        <w:rPr>
          <w:rFonts w:hint="eastAsia"/>
          <w:sz w:val="32"/>
          <w:szCs w:val="32"/>
        </w:rPr>
        <w:t>万元。</w:t>
      </w:r>
    </w:p>
    <w:p w14:paraId="482934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香坊区应急管理局接到“110”指挥中心报案后，立即向区政府和市应急局汇报了事故情况。根据《生产安全事故报告和调查处理条例》（国务院令第493号）相关规定，区政府委托区应急局牵头，组织区住建局、香坊公安分局和香坊区总工会等有关部门组成事故调查组赶赴事故现场，并聘请专家展开事故调查。事故调查组坚持科学严谨、依法依规、实事求是、注重实效的原则，通过对事故现场勘察和对相关人员的询问取证以及现场勘验等工作，现已查清事故原因，查明事故性质和责任，并针对存在的事故隐患提出了整改措施，对事故责任单位和人员提出处理建议，现报告如下：</w:t>
      </w:r>
    </w:p>
    <w:p w14:paraId="4108BD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黑体" w:hAnsi="黑体" w:eastAsia="黑体" w:cs="黑体"/>
          <w:sz w:val="32"/>
          <w:szCs w:val="32"/>
        </w:rPr>
        <w:t>一、事故单位和事故相关单位及工程概况</w:t>
      </w:r>
    </w:p>
    <w:p w14:paraId="6F8948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方正楷体简体" w:hAnsi="方正楷体简体" w:eastAsia="方正楷体简体" w:cs="方正楷体简体"/>
          <w:sz w:val="32"/>
          <w:szCs w:val="32"/>
        </w:rPr>
        <w:t>（一）事故单位概况</w:t>
      </w:r>
    </w:p>
    <w:p w14:paraId="683355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lang w:val="en-US" w:eastAsia="zh-CN"/>
        </w:rPr>
        <w:t xml:space="preserve">1. </w:t>
      </w:r>
      <w:r>
        <w:rPr>
          <w:rFonts w:hint="eastAsia"/>
          <w:sz w:val="32"/>
          <w:szCs w:val="32"/>
        </w:rPr>
        <w:t>哈尔滨筑鹏建筑工程有限公司；营业执照统一社会信用代码：91230110MA1BBCF96（6-1）；类型：有限责任公司(自然人投资或控股)；住所：哈尔滨市香坊区增福街174号2栋3单元2层1号；法定代表人：赵正良；注册资本：贰千壹佰万圆整；成立时间：2018年04月10日；营业期限：长期；经营范围：建设工程施工、建筑劳务分包、施工专业作业、工程技术服务（依法须经批准的项目，经相关部门批准后方可开展经营活动）</w:t>
      </w:r>
    </w:p>
    <w:p w14:paraId="45130A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highlight w:val="none"/>
          <w:lang w:val="en-US" w:eastAsia="zh-CN"/>
        </w:rPr>
      </w:pPr>
      <w:r>
        <w:rPr>
          <w:rFonts w:hint="eastAsia"/>
          <w:sz w:val="32"/>
          <w:szCs w:val="32"/>
          <w:highlight w:val="none"/>
          <w:lang w:val="en-US" w:eastAsia="zh-CN"/>
        </w:rPr>
        <w:t>2. 建筑业企业资质证书编号：D223224097；企业名称：哈尔滨筑鹏建筑工程有限公司；营业执照统一社会信用代码：91230110MA1BBCF96；法定代表人：赵正良；注册地址：哈尔滨市香坊区增福街174号2栋3单元2层1号（住宅）；有效期2023-10-19；资质等级：防水防腐保温工程专业承包二级、建筑幕墙工程专业承包二级、消防设施工程专业承包二级、特种工程（结构补强）专业承包不分等级、特种工程（建筑物纠偏和平移）专业承包不分等级、特种工程（特种防雷）专业承包不分等级、建筑装修装饰工程专业承包二级。</w:t>
      </w:r>
    </w:p>
    <w:p w14:paraId="15C6E5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highlight w:val="none"/>
          <w:lang w:val="en-US" w:eastAsia="zh-CN"/>
        </w:rPr>
      </w:pPr>
      <w:r>
        <w:rPr>
          <w:rFonts w:hint="eastAsia"/>
          <w:sz w:val="32"/>
          <w:szCs w:val="32"/>
          <w:highlight w:val="none"/>
          <w:lang w:val="en-US" w:eastAsia="zh-CN"/>
        </w:rPr>
        <w:t>3. 安全生产许可证证书编号：（黑）JZ安许证字［2018］007441；企业名称：哈尔滨筑鹏建筑工程有限公司；营业执照统一社会信用代码：91230110MA1BBCF96；法定代表人：赵正良；注册地址：哈尔滨市香坊区增福街174号2栋3单元2层1号（住宅）；经济类型：有限责任公司（自然人投资或控股）；有效期2024-09-16。</w:t>
      </w:r>
    </w:p>
    <w:p w14:paraId="59F588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方正楷体简体" w:hAnsi="方正楷体简体" w:eastAsia="方正楷体简体" w:cs="方正楷体简体"/>
          <w:sz w:val="32"/>
          <w:szCs w:val="32"/>
          <w:highlight w:val="none"/>
        </w:rPr>
        <w:t>（</w:t>
      </w:r>
      <w:r>
        <w:rPr>
          <w:rFonts w:hint="eastAsia" w:ascii="方正楷体简体" w:hAnsi="方正楷体简体" w:eastAsia="方正楷体简体" w:cs="方正楷体简体"/>
          <w:sz w:val="32"/>
          <w:szCs w:val="32"/>
          <w:highlight w:val="none"/>
          <w:lang w:eastAsia="zh-CN"/>
        </w:rPr>
        <w:t>二</w:t>
      </w:r>
      <w:r>
        <w:rPr>
          <w:rFonts w:hint="eastAsia" w:ascii="方正楷体简体" w:hAnsi="方正楷体简体" w:eastAsia="方正楷体简体" w:cs="方正楷体简体"/>
          <w:sz w:val="32"/>
          <w:szCs w:val="32"/>
          <w:highlight w:val="none"/>
        </w:rPr>
        <w:t>）</w:t>
      </w:r>
      <w:r>
        <w:rPr>
          <w:rFonts w:hint="eastAsia" w:ascii="方正楷体简体" w:hAnsi="方正楷体简体" w:eastAsia="方正楷体简体" w:cs="方正楷体简体"/>
          <w:sz w:val="32"/>
          <w:szCs w:val="32"/>
        </w:rPr>
        <w:t>工程概况</w:t>
      </w:r>
    </w:p>
    <w:p w14:paraId="16C490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 xml:space="preserve">工程名称：东北农业大学南区学生公寓外墙保温维修工程（一标段）                                                </w:t>
      </w:r>
    </w:p>
    <w:p w14:paraId="795E24F6">
      <w:pPr>
        <w:keepNext w:val="0"/>
        <w:keepLines w:val="0"/>
        <w:pageBreakBefore w:val="0"/>
        <w:widowControl w:val="0"/>
        <w:kinsoku/>
        <w:wordWrap w:val="0"/>
        <w:overflowPunct/>
        <w:topLinePunct w:val="0"/>
        <w:autoSpaceDE/>
        <w:autoSpaceDN/>
        <w:bidi w:val="0"/>
        <w:adjustRightInd/>
        <w:snapToGrid/>
        <w:spacing w:line="560" w:lineRule="exact"/>
        <w:ind w:left="638" w:leftChars="304" w:firstLine="0" w:firstLineChars="0"/>
        <w:textAlignment w:val="auto"/>
        <w:rPr>
          <w:rFonts w:hint="eastAsia"/>
          <w:sz w:val="32"/>
          <w:szCs w:val="32"/>
        </w:rPr>
      </w:pPr>
      <w:r>
        <w:rPr>
          <w:rFonts w:hint="eastAsia"/>
          <w:sz w:val="32"/>
          <w:szCs w:val="32"/>
        </w:rPr>
        <w:t>发包单位：东北农业大学</w:t>
      </w:r>
    </w:p>
    <w:p w14:paraId="14909235">
      <w:pPr>
        <w:keepNext w:val="0"/>
        <w:keepLines w:val="0"/>
        <w:pageBreakBefore w:val="0"/>
        <w:widowControl w:val="0"/>
        <w:kinsoku/>
        <w:wordWrap w:val="0"/>
        <w:overflowPunct/>
        <w:topLinePunct w:val="0"/>
        <w:autoSpaceDE/>
        <w:autoSpaceDN/>
        <w:bidi w:val="0"/>
        <w:adjustRightInd/>
        <w:snapToGrid/>
        <w:spacing w:line="560" w:lineRule="exact"/>
        <w:ind w:left="638" w:leftChars="304" w:firstLine="0" w:firstLineChars="0"/>
        <w:textAlignment w:val="auto"/>
        <w:rPr>
          <w:rFonts w:hint="eastAsia"/>
          <w:sz w:val="32"/>
          <w:szCs w:val="32"/>
        </w:rPr>
      </w:pPr>
      <w:r>
        <w:rPr>
          <w:rFonts w:hint="eastAsia"/>
          <w:sz w:val="32"/>
          <w:szCs w:val="32"/>
        </w:rPr>
        <w:t>承包单位：哈尔滨筑鹏建筑工程有限公司</w:t>
      </w:r>
    </w:p>
    <w:p w14:paraId="7E0DDB09">
      <w:pPr>
        <w:keepNext w:val="0"/>
        <w:keepLines w:val="0"/>
        <w:pageBreakBefore w:val="0"/>
        <w:widowControl w:val="0"/>
        <w:kinsoku/>
        <w:wordWrap w:val="0"/>
        <w:overflowPunct/>
        <w:topLinePunct w:val="0"/>
        <w:autoSpaceDE/>
        <w:autoSpaceDN/>
        <w:bidi w:val="0"/>
        <w:adjustRightInd/>
        <w:snapToGrid/>
        <w:spacing w:line="560" w:lineRule="exact"/>
        <w:ind w:left="638" w:leftChars="304" w:firstLine="0" w:firstLineChars="0"/>
        <w:textAlignment w:val="auto"/>
        <w:rPr>
          <w:rFonts w:hint="eastAsia"/>
          <w:sz w:val="32"/>
          <w:szCs w:val="32"/>
        </w:rPr>
      </w:pPr>
      <w:r>
        <w:rPr>
          <w:rFonts w:hint="eastAsia"/>
          <w:sz w:val="32"/>
          <w:szCs w:val="32"/>
        </w:rPr>
        <w:t>监理单位：黑龙江华达工程项目管理有限公司</w:t>
      </w:r>
    </w:p>
    <w:p w14:paraId="4A4AAB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工程地点：东北农业大学院内</w:t>
      </w:r>
    </w:p>
    <w:p w14:paraId="312DD4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承包范围：南区第一、第二两栋学生公寓外墙保温施工</w:t>
      </w:r>
    </w:p>
    <w:p w14:paraId="0D76BA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施工进展情况：工程施工已经进入的收尾阶段，只剩封堵后的南区第一公寓外墙脚手架附墙孔没有粉刷涂料。</w:t>
      </w:r>
    </w:p>
    <w:p w14:paraId="3C1A9A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sz w:val="32"/>
          <w:szCs w:val="32"/>
        </w:rPr>
        <w:t xml:space="preserve">合同总价款：1809468.16元 </w:t>
      </w:r>
    </w:p>
    <w:p w14:paraId="270BBF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黑体" w:hAnsi="黑体" w:eastAsia="黑体" w:cs="黑体"/>
          <w:sz w:val="32"/>
          <w:szCs w:val="32"/>
        </w:rPr>
        <w:t>二、事故发生经过及抢险救援情况</w:t>
      </w:r>
    </w:p>
    <w:p w14:paraId="166776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方正楷体简体" w:hAnsi="方正楷体简体" w:eastAsia="方正楷体简体" w:cs="方正楷体简体"/>
          <w:sz w:val="32"/>
          <w:szCs w:val="32"/>
        </w:rPr>
        <w:t>（一）事故发生经过</w:t>
      </w:r>
    </w:p>
    <w:p w14:paraId="06C2E07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32"/>
          <w:szCs w:val="32"/>
        </w:rPr>
      </w:pPr>
      <w:r>
        <w:rPr>
          <w:rFonts w:hint="eastAsia"/>
          <w:sz w:val="32"/>
          <w:szCs w:val="32"/>
        </w:rPr>
        <w:t xml:space="preserve">     2022年9月17日6时许，哈尔滨筑鹏建筑工程有限公司4名作业人员来到东北农业大学南区学生2号公寓，并开始了外墙粉刷作业的准备工作。7时许，高兴波只身一人来到第一公寓西侧出入口6层屋顶，先对座板式单人吊具进行总重不足75公斤的3块混凝土配重块固定后，然后便置身墙外，准备将自己垂降到适当位置开展外墙粉刷作业。就在进行垂降动作的瞬间，高兴波从高处坠落至地面（图1）。</w:t>
      </w:r>
    </w:p>
    <w:p w14:paraId="20D9A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方正仿宋简体"/>
          <w:sz w:val="32"/>
          <w:szCs w:val="32"/>
          <w:lang w:eastAsia="zh-CN"/>
        </w:rPr>
      </w:pPr>
      <w:r>
        <w:rPr>
          <w:rFonts w:hint="eastAsia" w:eastAsia="方正仿宋简体"/>
          <w:sz w:val="32"/>
          <w:szCs w:val="32"/>
          <w:lang w:eastAsia="zh-CN"/>
        </w:rPr>
        <w:drawing>
          <wp:inline distT="0" distB="0" distL="114300" distR="114300">
            <wp:extent cx="4371975" cy="1998345"/>
            <wp:effectExtent l="0" t="0" r="9525"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4371975" cy="1998345"/>
                    </a:xfrm>
                    <a:prstGeom prst="rect">
                      <a:avLst/>
                    </a:prstGeom>
                  </pic:spPr>
                </pic:pic>
              </a:graphicData>
            </a:graphic>
          </wp:inline>
        </w:drawing>
      </w:r>
    </w:p>
    <w:p w14:paraId="76902B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2"/>
          <w:szCs w:val="32"/>
        </w:rPr>
      </w:pPr>
      <w:r>
        <w:rPr>
          <w:rFonts w:hint="eastAsia" w:asciiTheme="minorEastAsia" w:hAnsiTheme="minorEastAsia" w:eastAsiaTheme="minorEastAsia" w:cstheme="minorEastAsia"/>
          <w:sz w:val="28"/>
          <w:szCs w:val="28"/>
        </w:rPr>
        <w:t>图1 事故现场情况</w:t>
      </w:r>
    </w:p>
    <w:p w14:paraId="3DDB2A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方正楷体简体" w:hAnsi="方正楷体简体" w:eastAsia="方正楷体简体" w:cs="方正楷体简体"/>
          <w:sz w:val="32"/>
          <w:szCs w:val="32"/>
        </w:rPr>
        <w:t>（二）抢险救援情况</w:t>
      </w:r>
      <w:r>
        <w:rPr>
          <w:rFonts w:hint="eastAsia"/>
          <w:sz w:val="32"/>
          <w:szCs w:val="32"/>
        </w:rPr>
        <w:t xml:space="preserve">                                                                                                </w:t>
      </w:r>
    </w:p>
    <w:p w14:paraId="1FA1FD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7时14分，途经事故现场的学生目睹了事发情况并立即电话向学校保卫处进行了报告</w:t>
      </w:r>
      <w:r>
        <w:rPr>
          <w:rFonts w:hint="eastAsia"/>
          <w:sz w:val="32"/>
          <w:szCs w:val="32"/>
          <w:lang w:eastAsia="zh-CN"/>
        </w:rPr>
        <w:t>，同时拨打“</w:t>
      </w:r>
      <w:r>
        <w:rPr>
          <w:rFonts w:hint="eastAsia"/>
          <w:sz w:val="32"/>
          <w:szCs w:val="32"/>
          <w:lang w:val="en-US" w:eastAsia="zh-CN"/>
        </w:rPr>
        <w:t>120</w:t>
      </w:r>
      <w:r>
        <w:rPr>
          <w:rFonts w:hint="eastAsia"/>
          <w:sz w:val="32"/>
          <w:szCs w:val="32"/>
          <w:lang w:eastAsia="zh-CN"/>
        </w:rPr>
        <w:t>”及校医电话，现场工友也立即拨打了“</w:t>
      </w:r>
      <w:r>
        <w:rPr>
          <w:rFonts w:hint="eastAsia"/>
          <w:sz w:val="32"/>
          <w:szCs w:val="32"/>
          <w:lang w:val="en-US" w:eastAsia="zh-CN"/>
        </w:rPr>
        <w:t>120</w:t>
      </w:r>
      <w:r>
        <w:rPr>
          <w:rFonts w:hint="eastAsia"/>
          <w:sz w:val="32"/>
          <w:szCs w:val="32"/>
          <w:lang w:eastAsia="zh-CN"/>
        </w:rPr>
        <w:t>”</w:t>
      </w:r>
      <w:r>
        <w:rPr>
          <w:rFonts w:hint="eastAsia"/>
          <w:sz w:val="32"/>
          <w:szCs w:val="32"/>
        </w:rPr>
        <w:t>。7时28分，东北农业大学保卫处人员及校医赶到事发现场（图2），对坠落人员的伤情进行了初步观察和判断</w:t>
      </w:r>
      <w:r>
        <w:rPr>
          <w:rFonts w:hint="eastAsia"/>
          <w:sz w:val="32"/>
          <w:szCs w:val="32"/>
          <w:lang w:eastAsia="zh-CN"/>
        </w:rPr>
        <w:t>。经校医初步诊断，高兴波已瞳孔扩散，已经不行了</w:t>
      </w:r>
      <w:r>
        <w:rPr>
          <w:rFonts w:hint="eastAsia"/>
          <w:sz w:val="32"/>
          <w:szCs w:val="32"/>
        </w:rPr>
        <w:t xml:space="preserve">。7时39分，“120”医护人员赶到事故现场，确认其已经死亡。 </w:t>
      </w:r>
    </w:p>
    <w:p w14:paraId="580B49BB">
      <w:pPr>
        <w:pStyle w:val="2"/>
        <w:rPr>
          <w:rFonts w:hint="eastAsia"/>
        </w:rPr>
      </w:pPr>
    </w:p>
    <w:p w14:paraId="761184C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方正仿宋简体"/>
          <w:sz w:val="32"/>
          <w:szCs w:val="32"/>
          <w:lang w:eastAsia="zh-CN"/>
        </w:rPr>
      </w:pPr>
      <w:r>
        <w:rPr>
          <w:rFonts w:hint="eastAsia" w:eastAsia="方正仿宋简体"/>
          <w:sz w:val="32"/>
          <w:szCs w:val="32"/>
          <w:lang w:eastAsia="zh-CN"/>
        </w:rPr>
        <w:drawing>
          <wp:inline distT="0" distB="0" distL="114300" distR="114300">
            <wp:extent cx="5615940" cy="4555490"/>
            <wp:effectExtent l="0" t="0" r="3810" b="1651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7"/>
                    <a:stretch>
                      <a:fillRect/>
                    </a:stretch>
                  </pic:blipFill>
                  <pic:spPr>
                    <a:xfrm>
                      <a:off x="0" y="0"/>
                      <a:ext cx="5615940" cy="4555490"/>
                    </a:xfrm>
                    <a:prstGeom prst="rect">
                      <a:avLst/>
                    </a:prstGeom>
                  </pic:spPr>
                </pic:pic>
              </a:graphicData>
            </a:graphic>
          </wp:inline>
        </w:drawing>
      </w:r>
    </w:p>
    <w:p w14:paraId="205748B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2"/>
          <w:szCs w:val="32"/>
        </w:rPr>
      </w:pPr>
      <w:r>
        <w:rPr>
          <w:rFonts w:hint="eastAsia" w:asciiTheme="minorEastAsia" w:hAnsiTheme="minorEastAsia" w:eastAsiaTheme="minorEastAsia" w:cstheme="minorEastAsia"/>
          <w:sz w:val="28"/>
          <w:szCs w:val="28"/>
        </w:rPr>
        <w:t>图2 现场救援情况</w:t>
      </w:r>
    </w:p>
    <w:p w14:paraId="6835FE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黑体" w:hAnsi="黑体" w:eastAsia="黑体" w:cs="黑体"/>
          <w:sz w:val="32"/>
          <w:szCs w:val="32"/>
        </w:rPr>
        <w:t>三、事故造成人员伤亡和直接经济损失情况</w:t>
      </w:r>
    </w:p>
    <w:tbl>
      <w:tblPr>
        <w:tblStyle w:val="8"/>
        <w:tblpPr w:leftFromText="180" w:rightFromText="180" w:vertAnchor="text" w:horzAnchor="page" w:tblpX="1858" w:tblpY="233"/>
        <w:tblOverlap w:val="never"/>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718"/>
        <w:gridCol w:w="758"/>
        <w:gridCol w:w="746"/>
        <w:gridCol w:w="1169"/>
        <w:gridCol w:w="1095"/>
        <w:gridCol w:w="2839"/>
      </w:tblGrid>
      <w:tr w14:paraId="3423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000" w:type="dxa"/>
            <w:noWrap w:val="0"/>
            <w:vAlign w:val="center"/>
          </w:tcPr>
          <w:p w14:paraId="45971317">
            <w:pPr>
              <w:keepNext w:val="0"/>
              <w:keepLines w:val="0"/>
              <w:pageBreakBefore w:val="0"/>
              <w:widowControl w:val="0"/>
              <w:kinsoku/>
              <w:wordWrap/>
              <w:overflowPunct/>
              <w:topLinePunct w:val="0"/>
              <w:autoSpaceDE/>
              <w:autoSpaceDN/>
              <w:bidi w:val="0"/>
              <w:adjustRightInd/>
              <w:snapToGrid/>
              <w:spacing w:line="560" w:lineRule="exact"/>
              <w:ind w:firstLine="240" w:firstLineChars="100"/>
              <w:jc w:val="both"/>
              <w:textAlignment w:val="auto"/>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姓名</w:t>
            </w:r>
          </w:p>
        </w:tc>
        <w:tc>
          <w:tcPr>
            <w:tcW w:w="718" w:type="dxa"/>
            <w:noWrap w:val="0"/>
            <w:vAlign w:val="center"/>
          </w:tcPr>
          <w:p w14:paraId="53A7FD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性别</w:t>
            </w:r>
          </w:p>
        </w:tc>
        <w:tc>
          <w:tcPr>
            <w:tcW w:w="758" w:type="dxa"/>
            <w:noWrap w:val="0"/>
            <w:vAlign w:val="center"/>
          </w:tcPr>
          <w:p w14:paraId="2F67A07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年龄</w:t>
            </w:r>
          </w:p>
        </w:tc>
        <w:tc>
          <w:tcPr>
            <w:tcW w:w="746" w:type="dxa"/>
            <w:noWrap w:val="0"/>
            <w:vAlign w:val="center"/>
          </w:tcPr>
          <w:p w14:paraId="0C4FF8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color w:val="auto"/>
                <w:kern w:val="0"/>
                <w:sz w:val="24"/>
                <w:szCs w:val="24"/>
              </w:rPr>
            </w:pPr>
            <w:r>
              <w:rPr>
                <w:rFonts w:hint="default" w:ascii="Times New Roman" w:hAnsi="Times New Roman" w:eastAsia="方正仿宋简体" w:cs="Times New Roman"/>
                <w:color w:val="auto"/>
                <w:kern w:val="0"/>
                <w:sz w:val="24"/>
                <w:szCs w:val="24"/>
              </w:rPr>
              <w:t>工种</w:t>
            </w:r>
          </w:p>
        </w:tc>
        <w:tc>
          <w:tcPr>
            <w:tcW w:w="1169" w:type="dxa"/>
            <w:noWrap w:val="0"/>
            <w:vAlign w:val="center"/>
          </w:tcPr>
          <w:p w14:paraId="739F4A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损失</w:t>
            </w:r>
          </w:p>
          <w:p w14:paraId="39172F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工作日</w:t>
            </w:r>
          </w:p>
        </w:tc>
        <w:tc>
          <w:tcPr>
            <w:tcW w:w="1095" w:type="dxa"/>
            <w:noWrap w:val="0"/>
            <w:vAlign w:val="center"/>
          </w:tcPr>
          <w:p w14:paraId="31625E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伤害</w:t>
            </w:r>
          </w:p>
          <w:p w14:paraId="04BBCE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程度</w:t>
            </w:r>
          </w:p>
        </w:tc>
        <w:tc>
          <w:tcPr>
            <w:tcW w:w="2839" w:type="dxa"/>
            <w:noWrap w:val="0"/>
            <w:vAlign w:val="center"/>
          </w:tcPr>
          <w:p w14:paraId="2763704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身份证号</w:t>
            </w:r>
          </w:p>
        </w:tc>
      </w:tr>
      <w:tr w14:paraId="5F29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trPr>
        <w:tc>
          <w:tcPr>
            <w:tcW w:w="1000" w:type="dxa"/>
            <w:noWrap w:val="0"/>
            <w:vAlign w:val="center"/>
          </w:tcPr>
          <w:p w14:paraId="742EE0B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高兴波</w:t>
            </w:r>
          </w:p>
        </w:tc>
        <w:tc>
          <w:tcPr>
            <w:tcW w:w="718" w:type="dxa"/>
            <w:noWrap w:val="0"/>
            <w:vAlign w:val="center"/>
          </w:tcPr>
          <w:p w14:paraId="4394A6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rPr>
            </w:pPr>
            <w:r>
              <w:rPr>
                <w:rFonts w:hint="default" w:ascii="Times New Roman" w:hAnsi="Times New Roman" w:eastAsia="方正仿宋简体" w:cs="Times New Roman"/>
                <w:kern w:val="0"/>
                <w:sz w:val="24"/>
                <w:szCs w:val="24"/>
              </w:rPr>
              <w:t>男</w:t>
            </w:r>
          </w:p>
        </w:tc>
        <w:tc>
          <w:tcPr>
            <w:tcW w:w="758" w:type="dxa"/>
            <w:noWrap w:val="0"/>
            <w:vAlign w:val="center"/>
          </w:tcPr>
          <w:p w14:paraId="442CD1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44</w:t>
            </w:r>
          </w:p>
        </w:tc>
        <w:tc>
          <w:tcPr>
            <w:tcW w:w="746" w:type="dxa"/>
            <w:noWrap w:val="0"/>
            <w:vAlign w:val="center"/>
          </w:tcPr>
          <w:p w14:paraId="637053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color w:val="auto"/>
                <w:kern w:val="0"/>
                <w:sz w:val="24"/>
                <w:szCs w:val="24"/>
                <w:highlight w:val="none"/>
                <w:lang w:eastAsia="zh-CN"/>
              </w:rPr>
            </w:pPr>
            <w:r>
              <w:rPr>
                <w:rFonts w:hint="default" w:ascii="Times New Roman" w:hAnsi="Times New Roman" w:eastAsia="方正仿宋简体" w:cs="Times New Roman"/>
                <w:color w:val="auto"/>
                <w:kern w:val="0"/>
                <w:sz w:val="24"/>
                <w:szCs w:val="24"/>
                <w:highlight w:val="none"/>
                <w:lang w:eastAsia="zh-CN"/>
              </w:rPr>
              <w:t>油工</w:t>
            </w:r>
          </w:p>
        </w:tc>
        <w:tc>
          <w:tcPr>
            <w:tcW w:w="1169" w:type="dxa"/>
            <w:noWrap w:val="0"/>
            <w:vAlign w:val="center"/>
          </w:tcPr>
          <w:p w14:paraId="5F1E39D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6000</w:t>
            </w:r>
          </w:p>
        </w:tc>
        <w:tc>
          <w:tcPr>
            <w:tcW w:w="1095" w:type="dxa"/>
            <w:noWrap w:val="0"/>
            <w:vAlign w:val="center"/>
          </w:tcPr>
          <w:p w14:paraId="319695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lang w:eastAsia="zh-CN"/>
              </w:rPr>
            </w:pPr>
            <w:r>
              <w:rPr>
                <w:rFonts w:hint="default" w:ascii="Times New Roman" w:hAnsi="Times New Roman" w:eastAsia="方正仿宋简体" w:cs="Times New Roman"/>
                <w:kern w:val="0"/>
                <w:sz w:val="24"/>
                <w:szCs w:val="24"/>
                <w:lang w:eastAsia="zh-CN"/>
              </w:rPr>
              <w:t>死亡</w:t>
            </w:r>
          </w:p>
        </w:tc>
        <w:tc>
          <w:tcPr>
            <w:tcW w:w="2839" w:type="dxa"/>
            <w:noWrap w:val="0"/>
            <w:vAlign w:val="center"/>
          </w:tcPr>
          <w:p w14:paraId="365CAA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kern w:val="0"/>
                <w:sz w:val="24"/>
                <w:szCs w:val="24"/>
                <w:lang w:val="en-US" w:eastAsia="zh-CN"/>
              </w:rPr>
            </w:pPr>
            <w:r>
              <w:rPr>
                <w:rFonts w:hint="default" w:ascii="Times New Roman" w:hAnsi="Times New Roman" w:eastAsia="方正仿宋简体" w:cs="Times New Roman"/>
                <w:kern w:val="0"/>
                <w:sz w:val="24"/>
                <w:szCs w:val="24"/>
                <w:lang w:val="en-US" w:eastAsia="zh-CN"/>
              </w:rPr>
              <w:t>23</w:t>
            </w:r>
            <w:r>
              <w:rPr>
                <w:rFonts w:hint="eastAsia" w:cs="Times New Roman"/>
                <w:kern w:val="0"/>
                <w:sz w:val="24"/>
                <w:szCs w:val="24"/>
                <w:lang w:val="en-US" w:eastAsia="zh-CN"/>
              </w:rPr>
              <w:t>xxxxxxxxxxxxxx</w:t>
            </w:r>
            <w:r>
              <w:rPr>
                <w:rFonts w:hint="default" w:ascii="Times New Roman" w:hAnsi="Times New Roman" w:eastAsia="方正仿宋简体" w:cs="Times New Roman"/>
                <w:kern w:val="0"/>
                <w:sz w:val="24"/>
                <w:szCs w:val="24"/>
                <w:lang w:val="en-US" w:eastAsia="zh-CN"/>
              </w:rPr>
              <w:t>78</w:t>
            </w:r>
          </w:p>
        </w:tc>
      </w:tr>
    </w:tbl>
    <w:p w14:paraId="37AE50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此起事故直接经济损失10</w:t>
      </w:r>
      <w:r>
        <w:rPr>
          <w:rFonts w:hint="eastAsia"/>
          <w:sz w:val="32"/>
          <w:szCs w:val="32"/>
          <w:lang w:val="en-US" w:eastAsia="zh-CN"/>
        </w:rPr>
        <w:t>4</w:t>
      </w:r>
      <w:r>
        <w:rPr>
          <w:rFonts w:hint="eastAsia"/>
          <w:sz w:val="32"/>
          <w:szCs w:val="32"/>
        </w:rPr>
        <w:t>.</w:t>
      </w:r>
      <w:r>
        <w:rPr>
          <w:rFonts w:hint="eastAsia"/>
          <w:sz w:val="32"/>
          <w:szCs w:val="32"/>
          <w:lang w:val="en-US" w:eastAsia="zh-CN"/>
        </w:rPr>
        <w:t>986</w:t>
      </w:r>
      <w:r>
        <w:rPr>
          <w:rFonts w:hint="eastAsia"/>
          <w:sz w:val="32"/>
          <w:szCs w:val="32"/>
        </w:rPr>
        <w:t>万元，其中人身伤亡所支出的费用70万元、拟对事故罚款3</w:t>
      </w:r>
      <w:r>
        <w:rPr>
          <w:rFonts w:hint="eastAsia"/>
          <w:sz w:val="32"/>
          <w:szCs w:val="32"/>
          <w:lang w:val="en-US" w:eastAsia="zh-CN"/>
        </w:rPr>
        <w:t>4</w:t>
      </w:r>
      <w:r>
        <w:rPr>
          <w:rFonts w:hint="eastAsia"/>
          <w:sz w:val="32"/>
          <w:szCs w:val="32"/>
        </w:rPr>
        <w:t>.</w:t>
      </w:r>
      <w:r>
        <w:rPr>
          <w:rFonts w:hint="eastAsia"/>
          <w:sz w:val="32"/>
          <w:szCs w:val="32"/>
          <w:lang w:val="en-US" w:eastAsia="zh-CN"/>
        </w:rPr>
        <w:t>986</w:t>
      </w:r>
      <w:r>
        <w:rPr>
          <w:rFonts w:hint="eastAsia"/>
          <w:sz w:val="32"/>
          <w:szCs w:val="32"/>
        </w:rPr>
        <w:t>万元。</w:t>
      </w:r>
    </w:p>
    <w:p w14:paraId="59D197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黑体" w:hAnsi="黑体" w:eastAsia="黑体" w:cs="黑体"/>
          <w:sz w:val="32"/>
          <w:szCs w:val="32"/>
        </w:rPr>
        <w:t>四、事故发生原因和性质</w:t>
      </w:r>
    </w:p>
    <w:p w14:paraId="7C120B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方正楷体简体" w:hAnsi="方正楷体简体" w:eastAsia="方正楷体简体" w:cs="方正楷体简体"/>
          <w:sz w:val="32"/>
          <w:szCs w:val="32"/>
        </w:rPr>
        <w:t>（一）事故发生原因</w:t>
      </w:r>
    </w:p>
    <w:p w14:paraId="382EF3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1</w:t>
      </w:r>
      <w:r>
        <w:rPr>
          <w:rFonts w:hint="eastAsia"/>
          <w:sz w:val="32"/>
          <w:szCs w:val="32"/>
          <w:lang w:eastAsia="zh-CN"/>
        </w:rPr>
        <w:t>.</w:t>
      </w:r>
      <w:r>
        <w:rPr>
          <w:rFonts w:hint="eastAsia"/>
          <w:sz w:val="32"/>
          <w:szCs w:val="32"/>
          <w:lang w:val="en-US" w:eastAsia="zh-CN"/>
        </w:rPr>
        <w:t xml:space="preserve"> </w:t>
      </w:r>
      <w:r>
        <w:rPr>
          <w:rFonts w:hint="eastAsia"/>
          <w:sz w:val="32"/>
          <w:szCs w:val="32"/>
        </w:rPr>
        <w:t>直接原因</w:t>
      </w:r>
    </w:p>
    <w:p w14:paraId="32A88C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作业人员高兴波违规冒险使用国家明令禁用的座板式吊具，配重的选择和固定方式错误，使用总重不足75公斤的3块混凝土配重块对吊绳的一端进行固定，导致配重过轻，人和配重一起从高处坠落是造成此起高处坠落的直接原因。</w:t>
      </w:r>
    </w:p>
    <w:p w14:paraId="5351D9FC">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间接原因</w:t>
      </w:r>
    </w:p>
    <w:p w14:paraId="76CB95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 xml:space="preserve">（1）哈尔滨筑鹏建筑工程有限公司未在施工方案当中制定相关吊具固定的方式方法，并有效组织实施。                                                                        </w:t>
      </w:r>
    </w:p>
    <w:p w14:paraId="6FBD2A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 xml:space="preserve">（2）哈尔滨筑鹏建筑工程有限公司安全意识淡薄，未对作业现场进行安全检查，未开展安全技术交底和安全培训工作。高处作业施工现场未按规定设置专人监护。                                        </w:t>
      </w:r>
    </w:p>
    <w:p w14:paraId="0ED3FA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 xml:space="preserve">（3）作业人员未取得高处作业资格证书。                                                                </w:t>
      </w:r>
    </w:p>
    <w:p w14:paraId="6A839D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方正楷体简体" w:hAnsi="方正楷体简体" w:eastAsia="方正楷体简体" w:cs="方正楷体简体"/>
          <w:sz w:val="32"/>
          <w:szCs w:val="32"/>
        </w:rPr>
        <w:t>（二）事故性质</w:t>
      </w:r>
    </w:p>
    <w:p w14:paraId="61CF8E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sz w:val="32"/>
          <w:szCs w:val="32"/>
        </w:rPr>
        <w:t>事故调查组根据现场的勘察、调查取证，认定此起事故是一般生产安全责任事故，事故类别为高处坠落事故。</w:t>
      </w:r>
    </w:p>
    <w:p w14:paraId="3BE373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黑体" w:hAnsi="黑体" w:eastAsia="黑体" w:cs="黑体"/>
          <w:sz w:val="32"/>
          <w:szCs w:val="32"/>
        </w:rPr>
        <w:t>五、对事故责任单位和有关责任者的处理意见</w:t>
      </w:r>
    </w:p>
    <w:p w14:paraId="2EC55B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方正楷体简体" w:hAnsi="方正楷体简体" w:eastAsia="方正楷体简体" w:cs="方正楷体简体"/>
          <w:sz w:val="32"/>
          <w:szCs w:val="32"/>
        </w:rPr>
        <w:t>（一）对事故责任单位的处理意见</w:t>
      </w:r>
    </w:p>
    <w:p w14:paraId="1B9FEA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哈尔滨筑鹏建筑工程有限公司在施工方案中</w:t>
      </w:r>
      <w:r>
        <w:rPr>
          <w:rFonts w:hint="eastAsia"/>
          <w:sz w:val="32"/>
          <w:szCs w:val="32"/>
          <w:lang w:eastAsia="zh-CN"/>
        </w:rPr>
        <w:t>，</w:t>
      </w:r>
      <w:r>
        <w:rPr>
          <w:rFonts w:hint="eastAsia"/>
          <w:sz w:val="32"/>
          <w:szCs w:val="32"/>
          <w:highlight w:val="none"/>
          <w:lang w:eastAsia="zh-CN"/>
        </w:rPr>
        <w:t>使用淘汰吊具</w:t>
      </w:r>
      <w:r>
        <w:rPr>
          <w:rFonts w:hint="eastAsia"/>
          <w:sz w:val="32"/>
          <w:szCs w:val="32"/>
          <w:lang w:eastAsia="zh-CN"/>
        </w:rPr>
        <w:t>，</w:t>
      </w:r>
      <w:r>
        <w:rPr>
          <w:rFonts w:hint="eastAsia"/>
          <w:sz w:val="32"/>
          <w:szCs w:val="32"/>
        </w:rPr>
        <w:t>未制定吊具固定的方式方法，并有效组织实施。未对作业现场进行安全检查、开展安全技术交底，对工人没有进行系统的安全教育和培训，雇佣未取得高处作业资格证书的工作人员，未健全安全生产责任制、完善安全生产规章制度和操作规程，在此起事故中负有责任。以上行为违反了《中华人民共和国安全生产法》第二十五条第</w:t>
      </w:r>
      <w:r>
        <w:rPr>
          <w:rFonts w:hint="eastAsia"/>
          <w:sz w:val="32"/>
          <w:szCs w:val="32"/>
          <w:lang w:eastAsia="zh-CN"/>
        </w:rPr>
        <w:t>（</w:t>
      </w:r>
      <w:r>
        <w:rPr>
          <w:rFonts w:hint="eastAsia"/>
          <w:sz w:val="32"/>
          <w:szCs w:val="32"/>
        </w:rPr>
        <w:t>一</w:t>
      </w:r>
      <w:r>
        <w:rPr>
          <w:rFonts w:hint="eastAsia"/>
          <w:sz w:val="32"/>
          <w:szCs w:val="32"/>
          <w:lang w:eastAsia="zh-CN"/>
        </w:rPr>
        <w:t>）</w:t>
      </w:r>
      <w:r>
        <w:rPr>
          <w:rFonts w:hint="eastAsia"/>
          <w:sz w:val="32"/>
          <w:szCs w:val="32"/>
        </w:rPr>
        <w:t>项</w:t>
      </w:r>
      <w:r>
        <w:rPr>
          <w:rFonts w:hint="eastAsia"/>
          <w:sz w:val="32"/>
          <w:szCs w:val="32"/>
          <w:vertAlign w:val="superscript"/>
        </w:rPr>
        <w:t>1</w:t>
      </w:r>
      <w:r>
        <w:rPr>
          <w:rFonts w:hint="eastAsia"/>
          <w:sz w:val="32"/>
          <w:szCs w:val="32"/>
        </w:rPr>
        <w:t>、第</w:t>
      </w:r>
      <w:r>
        <w:rPr>
          <w:rFonts w:hint="eastAsia"/>
          <w:sz w:val="32"/>
          <w:szCs w:val="32"/>
          <w:lang w:eastAsia="zh-CN"/>
        </w:rPr>
        <w:t>（</w:t>
      </w:r>
      <w:r>
        <w:rPr>
          <w:rFonts w:hint="eastAsia"/>
          <w:sz w:val="32"/>
          <w:szCs w:val="32"/>
        </w:rPr>
        <w:t>五</w:t>
      </w:r>
      <w:r>
        <w:rPr>
          <w:rFonts w:hint="eastAsia"/>
          <w:sz w:val="32"/>
          <w:szCs w:val="32"/>
          <w:lang w:eastAsia="zh-CN"/>
        </w:rPr>
        <w:t>）</w:t>
      </w:r>
      <w:r>
        <w:rPr>
          <w:rFonts w:hint="eastAsia"/>
          <w:sz w:val="32"/>
          <w:szCs w:val="32"/>
        </w:rPr>
        <w:t>项</w:t>
      </w:r>
      <w:r>
        <w:rPr>
          <w:rFonts w:hint="eastAsia"/>
          <w:sz w:val="32"/>
          <w:szCs w:val="32"/>
          <w:vertAlign w:val="superscript"/>
        </w:rPr>
        <w:t>2</w:t>
      </w:r>
      <w:r>
        <w:rPr>
          <w:rFonts w:hint="eastAsia"/>
          <w:sz w:val="32"/>
          <w:szCs w:val="32"/>
        </w:rPr>
        <w:t>、第二十八条</w:t>
      </w:r>
      <w:r>
        <w:rPr>
          <w:rFonts w:hint="eastAsia"/>
          <w:sz w:val="32"/>
          <w:szCs w:val="32"/>
          <w:highlight w:val="none"/>
          <w:lang w:eastAsia="zh-CN"/>
        </w:rPr>
        <w:t>第一款</w:t>
      </w:r>
      <w:r>
        <w:rPr>
          <w:rFonts w:hint="eastAsia"/>
          <w:sz w:val="32"/>
          <w:szCs w:val="32"/>
          <w:highlight w:val="none"/>
          <w:vertAlign w:val="superscript"/>
        </w:rPr>
        <w:t>3</w:t>
      </w:r>
      <w:r>
        <w:rPr>
          <w:rFonts w:hint="eastAsia"/>
          <w:sz w:val="32"/>
          <w:szCs w:val="32"/>
          <w:highlight w:val="none"/>
          <w:vertAlign w:val="baseline"/>
          <w:lang w:eastAsia="zh-CN"/>
        </w:rPr>
        <w:t>、第三十条</w:t>
      </w:r>
      <w:r>
        <w:rPr>
          <w:rFonts w:hint="eastAsia"/>
          <w:sz w:val="32"/>
          <w:szCs w:val="32"/>
          <w:highlight w:val="none"/>
          <w:vertAlign w:val="superscript"/>
          <w:lang w:val="en-US" w:eastAsia="zh-CN"/>
        </w:rPr>
        <w:t>4</w:t>
      </w:r>
      <w:r>
        <w:rPr>
          <w:rFonts w:hint="eastAsia"/>
          <w:sz w:val="32"/>
          <w:szCs w:val="32"/>
          <w:highlight w:val="none"/>
          <w:vertAlign w:val="baseline"/>
          <w:lang w:val="en-US" w:eastAsia="zh-CN"/>
        </w:rPr>
        <w:t>、第三十八条第三款</w:t>
      </w:r>
      <w:r>
        <w:rPr>
          <w:rFonts w:hint="eastAsia"/>
          <w:sz w:val="32"/>
          <w:szCs w:val="32"/>
          <w:highlight w:val="none"/>
          <w:vertAlign w:val="superscript"/>
          <w:lang w:val="en-US" w:eastAsia="zh-CN"/>
        </w:rPr>
        <w:t>5</w:t>
      </w:r>
      <w:r>
        <w:rPr>
          <w:rFonts w:hint="eastAsia"/>
          <w:sz w:val="32"/>
          <w:szCs w:val="32"/>
          <w:highlight w:val="none"/>
        </w:rPr>
        <w:t>的</w:t>
      </w:r>
      <w:r>
        <w:rPr>
          <w:rFonts w:hint="eastAsia"/>
          <w:sz w:val="32"/>
          <w:szCs w:val="32"/>
        </w:rPr>
        <w:t>规定，依据《中华人民共和国安全生产法》第一百一十四条第</w:t>
      </w:r>
      <w:r>
        <w:rPr>
          <w:rFonts w:hint="eastAsia"/>
          <w:sz w:val="32"/>
          <w:szCs w:val="32"/>
          <w:lang w:eastAsia="zh-CN"/>
        </w:rPr>
        <w:t>（</w:t>
      </w:r>
      <w:r>
        <w:rPr>
          <w:rFonts w:hint="eastAsia"/>
          <w:sz w:val="32"/>
          <w:szCs w:val="32"/>
        </w:rPr>
        <w:t>一</w:t>
      </w:r>
      <w:r>
        <w:rPr>
          <w:rFonts w:hint="eastAsia"/>
          <w:sz w:val="32"/>
          <w:szCs w:val="32"/>
          <w:lang w:eastAsia="zh-CN"/>
        </w:rPr>
        <w:t>）</w:t>
      </w:r>
      <w:r>
        <w:rPr>
          <w:rFonts w:hint="eastAsia"/>
          <w:sz w:val="32"/>
          <w:szCs w:val="32"/>
        </w:rPr>
        <w:t>项</w:t>
      </w:r>
      <w:r>
        <w:rPr>
          <w:rFonts w:hint="eastAsia"/>
          <w:sz w:val="32"/>
          <w:szCs w:val="32"/>
          <w:vertAlign w:val="superscript"/>
          <w:lang w:val="en-US" w:eastAsia="zh-CN"/>
        </w:rPr>
        <w:t>6</w:t>
      </w:r>
      <w:r>
        <w:rPr>
          <w:rFonts w:hint="eastAsia"/>
          <w:sz w:val="32"/>
          <w:szCs w:val="32"/>
        </w:rPr>
        <w:t>的规定，建议对哈尔滨筑鹏建筑工程有限公司处于叁拾万零伍仟元罚款的行政处罚。</w:t>
      </w:r>
    </w:p>
    <w:p w14:paraId="5681AE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方正楷体简体" w:hAnsi="方正楷体简体" w:eastAsia="方正楷体简体" w:cs="方正楷体简体"/>
          <w:sz w:val="32"/>
          <w:szCs w:val="32"/>
        </w:rPr>
        <w:t>（二）对事故有关责任者的处理意见</w:t>
      </w:r>
    </w:p>
    <w:p w14:paraId="0D44779C">
      <w:pPr>
        <w:pStyle w:val="2"/>
        <w:rPr>
          <w:rFonts w:hint="eastAsia"/>
        </w:rPr>
      </w:pPr>
    </w:p>
    <w:p w14:paraId="1B9B1744">
      <w:pPr>
        <w:rPr>
          <w:rFonts w:hint="eastAsia" w:asciiTheme="minorEastAsia" w:hAnsiTheme="minorEastAsia" w:eastAsiaTheme="minorEastAsia" w:cstheme="minorEastAsia"/>
          <w:sz w:val="18"/>
          <w:szCs w:val="18"/>
          <w:highlight w:val="none"/>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 xml:space="preserve">[1] </w:t>
      </w:r>
      <w:r>
        <w:rPr>
          <w:rFonts w:hint="eastAsia" w:asciiTheme="minorEastAsia" w:hAnsiTheme="minorEastAsia" w:eastAsiaTheme="minorEastAsia" w:cstheme="minorEastAsia"/>
          <w:sz w:val="18"/>
          <w:szCs w:val="18"/>
          <w:highlight w:val="none"/>
        </w:rPr>
        <w:t>《中华人民共和国安全生产法》第二十五条第（一）项</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生产经营单位的安全生产管理机构以及安全生产管理人员履行下列职责：（一）组织或者参与拟订本单位安全生产规章制度、操作规程和生产安全事故应急救援预案。</w:t>
      </w:r>
    </w:p>
    <w:p w14:paraId="088E2CC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b w:val="0"/>
          <w:kern w:val="2"/>
          <w:sz w:val="18"/>
          <w:szCs w:val="18"/>
          <w:highlight w:val="none"/>
          <w:lang w:val="en-US" w:eastAsia="zh-CN" w:bidi="ar-SA"/>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 xml:space="preserve">[2] </w:t>
      </w:r>
      <w:r>
        <w:rPr>
          <w:rFonts w:hint="eastAsia" w:asciiTheme="minorEastAsia" w:hAnsiTheme="minorEastAsia" w:eastAsiaTheme="minorEastAsia" w:cstheme="minorEastAsia"/>
          <w:sz w:val="18"/>
          <w:szCs w:val="18"/>
          <w:highlight w:val="none"/>
          <w:lang w:val="en-US" w:eastAsia="zh-CN"/>
        </w:rPr>
        <w:t>《中华人民共和国安全生产法》</w:t>
      </w:r>
      <w:r>
        <w:rPr>
          <w:rFonts w:hint="eastAsia" w:asciiTheme="minorEastAsia" w:hAnsiTheme="minorEastAsia" w:eastAsiaTheme="minorEastAsia" w:cstheme="minorEastAsia"/>
          <w:b w:val="0"/>
          <w:kern w:val="2"/>
          <w:sz w:val="18"/>
          <w:szCs w:val="18"/>
          <w:highlight w:val="none"/>
          <w:lang w:val="en-US" w:eastAsia="zh-CN" w:bidi="ar-SA"/>
        </w:rPr>
        <w:t>第二十五条第（五）项：生产经营单位的安全生产管理机构以及安全生产管理人员履行下列职责：（五）检查本单位的安全生产状况，及时排查生产安全事故隐患，提出改进安全生产管理的建议。</w:t>
      </w:r>
    </w:p>
    <w:p w14:paraId="03D6FA0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18"/>
          <w:szCs w:val="18"/>
          <w:highlight w:val="none"/>
          <w:lang w:val="en-US" w:eastAsia="zh-CN"/>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 xml:space="preserve">[3] </w:t>
      </w:r>
      <w:r>
        <w:rPr>
          <w:rFonts w:hint="eastAsia" w:asciiTheme="minorEastAsia" w:hAnsiTheme="minorEastAsia" w:eastAsiaTheme="minorEastAsia" w:cstheme="minorEastAsia"/>
          <w:b w:val="0"/>
          <w:kern w:val="2"/>
          <w:sz w:val="18"/>
          <w:szCs w:val="18"/>
          <w:highlight w:val="none"/>
          <w:lang w:val="en-US" w:eastAsia="zh-CN" w:bidi="ar-SA"/>
        </w:rPr>
        <w:t>《</w:t>
      </w:r>
      <w:r>
        <w:rPr>
          <w:rFonts w:hint="eastAsia" w:asciiTheme="minorEastAsia" w:hAnsiTheme="minorEastAsia" w:eastAsiaTheme="minorEastAsia" w:cstheme="minorEastAsia"/>
          <w:kern w:val="2"/>
          <w:sz w:val="18"/>
          <w:szCs w:val="18"/>
          <w:highlight w:val="none"/>
          <w:lang w:val="en-US" w:eastAsia="zh-CN" w:bidi="ar-SA"/>
        </w:rPr>
        <w:t>中华人民共和国安全生产法</w:t>
      </w:r>
      <w:r>
        <w:rPr>
          <w:rFonts w:hint="eastAsia" w:asciiTheme="minorEastAsia" w:hAnsiTheme="minorEastAsia" w:eastAsiaTheme="minorEastAsia" w:cstheme="minorEastAsia"/>
          <w:b w:val="0"/>
          <w:kern w:val="2"/>
          <w:sz w:val="18"/>
          <w:szCs w:val="18"/>
          <w:highlight w:val="none"/>
          <w:lang w:val="en-US" w:eastAsia="zh-CN" w:bidi="ar-SA"/>
        </w:rPr>
        <w:t>》</w:t>
      </w:r>
      <w:r>
        <w:rPr>
          <w:rFonts w:hint="eastAsia" w:asciiTheme="minorEastAsia" w:hAnsiTheme="minorEastAsia" w:eastAsiaTheme="minorEastAsia" w:cstheme="minorEastAsia"/>
          <w:sz w:val="18"/>
          <w:szCs w:val="18"/>
          <w:highlight w:val="none"/>
          <w:lang w:val="en-US" w:eastAsia="zh-CN"/>
        </w:rPr>
        <w:t>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04DF4A8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18"/>
          <w:szCs w:val="18"/>
          <w:highlight w:val="none"/>
          <w:lang w:val="en-US" w:eastAsia="zh-CN"/>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 xml:space="preserve">[4] </w:t>
      </w:r>
      <w:r>
        <w:rPr>
          <w:rFonts w:hint="eastAsia" w:asciiTheme="minorEastAsia" w:hAnsiTheme="minorEastAsia" w:eastAsiaTheme="minorEastAsia" w:cstheme="minorEastAsia"/>
          <w:b w:val="0"/>
          <w:kern w:val="2"/>
          <w:sz w:val="18"/>
          <w:szCs w:val="18"/>
          <w:highlight w:val="none"/>
          <w:lang w:val="en-US" w:eastAsia="zh-CN" w:bidi="ar-SA"/>
        </w:rPr>
        <w:t>《</w:t>
      </w:r>
      <w:r>
        <w:rPr>
          <w:rFonts w:hint="eastAsia" w:asciiTheme="minorEastAsia" w:hAnsiTheme="minorEastAsia" w:eastAsiaTheme="minorEastAsia" w:cstheme="minorEastAsia"/>
          <w:kern w:val="2"/>
          <w:sz w:val="18"/>
          <w:szCs w:val="18"/>
          <w:highlight w:val="none"/>
          <w:lang w:val="en-US" w:eastAsia="zh-CN" w:bidi="ar-SA"/>
        </w:rPr>
        <w:t>中华人民共和国安全生产法</w:t>
      </w:r>
      <w:r>
        <w:rPr>
          <w:rFonts w:hint="eastAsia" w:asciiTheme="minorEastAsia" w:hAnsiTheme="minorEastAsia" w:eastAsiaTheme="minorEastAsia" w:cstheme="minorEastAsia"/>
          <w:b w:val="0"/>
          <w:kern w:val="2"/>
          <w:sz w:val="18"/>
          <w:szCs w:val="18"/>
          <w:highlight w:val="none"/>
          <w:lang w:val="en-US" w:eastAsia="zh-CN" w:bidi="ar-SA"/>
        </w:rPr>
        <w:t>》</w:t>
      </w:r>
      <w:r>
        <w:rPr>
          <w:rFonts w:hint="eastAsia" w:asciiTheme="minorEastAsia" w:hAnsiTheme="minorEastAsia" w:eastAsiaTheme="minorEastAsia" w:cstheme="minorEastAsia"/>
          <w:sz w:val="18"/>
          <w:szCs w:val="18"/>
          <w:highlight w:val="none"/>
          <w:lang w:val="en-US" w:eastAsia="zh-CN"/>
        </w:rPr>
        <w:t>第三十条：生产经营单位的特种作业人员必须按照国家有关规定经专门的安全作业培训，取得相应资格，方可上岗作业。</w:t>
      </w:r>
    </w:p>
    <w:p w14:paraId="64733FB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18"/>
          <w:szCs w:val="18"/>
          <w:highlight w:val="none"/>
          <w:lang w:val="en-US" w:eastAsia="zh-CN"/>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[5]</w:t>
      </w:r>
      <w:r>
        <w:rPr>
          <w:rFonts w:hint="eastAsia" w:asciiTheme="minorEastAsia" w:hAnsiTheme="minorEastAsia" w:eastAsiaTheme="minorEastAsia" w:cstheme="minorEastAsia"/>
          <w:b w:val="0"/>
          <w:kern w:val="2"/>
          <w:sz w:val="18"/>
          <w:szCs w:val="18"/>
          <w:highlight w:val="none"/>
          <w:lang w:val="en-US" w:eastAsia="zh-CN" w:bidi="ar-SA"/>
        </w:rPr>
        <w:t>《</w:t>
      </w:r>
      <w:r>
        <w:rPr>
          <w:rFonts w:hint="eastAsia" w:asciiTheme="minorEastAsia" w:hAnsiTheme="minorEastAsia" w:eastAsiaTheme="minorEastAsia" w:cstheme="minorEastAsia"/>
          <w:kern w:val="2"/>
          <w:sz w:val="18"/>
          <w:szCs w:val="18"/>
          <w:highlight w:val="none"/>
          <w:lang w:val="en-US" w:eastAsia="zh-CN" w:bidi="ar-SA"/>
        </w:rPr>
        <w:t>中华人民共和国安全生产法</w:t>
      </w:r>
      <w:r>
        <w:rPr>
          <w:rFonts w:hint="eastAsia" w:asciiTheme="minorEastAsia" w:hAnsiTheme="minorEastAsia" w:eastAsiaTheme="minorEastAsia" w:cstheme="minorEastAsia"/>
          <w:b w:val="0"/>
          <w:kern w:val="2"/>
          <w:sz w:val="18"/>
          <w:szCs w:val="18"/>
          <w:highlight w:val="none"/>
          <w:lang w:val="en-US" w:eastAsia="zh-CN" w:bidi="ar-SA"/>
        </w:rPr>
        <w:t>》</w:t>
      </w:r>
      <w:r>
        <w:rPr>
          <w:rFonts w:hint="eastAsia" w:asciiTheme="minorEastAsia" w:hAnsiTheme="minorEastAsia" w:eastAsiaTheme="minorEastAsia" w:cstheme="minorEastAsia"/>
          <w:sz w:val="18"/>
          <w:szCs w:val="18"/>
          <w:highlight w:val="none"/>
          <w:lang w:val="en-US" w:eastAsia="zh-CN"/>
        </w:rPr>
        <w:t>第三十八条第三款：生产经营单位不得使用应当淘汰的危及生产安全的工艺、设备。</w:t>
      </w:r>
    </w:p>
    <w:p w14:paraId="74C574A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heme="minorEastAsia" w:hAnsiTheme="minorEastAsia" w:eastAsiaTheme="minorEastAsia" w:cstheme="minorEastAsia"/>
          <w:sz w:val="18"/>
          <w:szCs w:val="18"/>
          <w:lang w:val="en-US" w:eastAsia="zh-CN"/>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[6]</w:t>
      </w:r>
      <w:r>
        <w:rPr>
          <w:rFonts w:hint="eastAsia" w:asciiTheme="minorEastAsia" w:hAnsiTheme="minorEastAsia" w:eastAsiaTheme="minorEastAsia" w:cstheme="minorEastAsia"/>
          <w:sz w:val="18"/>
          <w:szCs w:val="18"/>
          <w:lang w:val="en-US" w:eastAsia="zh-CN"/>
        </w:rPr>
        <w:t xml:space="preserve"> 《中华人民共和国安全生产法》第一百一十四条第（一）项：发生生产安全事故，对负有责任的生产经营单位除要求其依法承担相应的赔偿等责任外，由应急管理部门依照下列规定处以罚款:（一）发生一般事故的，处三十万元以上一百万元以下的罚款。</w:t>
      </w:r>
    </w:p>
    <w:p w14:paraId="530FCF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rPr>
      </w:pPr>
      <w:r>
        <w:rPr>
          <w:rFonts w:hint="eastAsia"/>
          <w:sz w:val="32"/>
          <w:szCs w:val="32"/>
        </w:rPr>
        <w:t>1</w:t>
      </w:r>
      <w:r>
        <w:rPr>
          <w:rFonts w:hint="eastAsia"/>
          <w:sz w:val="32"/>
          <w:szCs w:val="32"/>
          <w:lang w:eastAsia="zh-CN"/>
        </w:rPr>
        <w:t>.</w:t>
      </w:r>
      <w:r>
        <w:rPr>
          <w:rFonts w:hint="eastAsia"/>
          <w:sz w:val="32"/>
          <w:szCs w:val="32"/>
          <w:lang w:val="en-US" w:eastAsia="zh-CN"/>
        </w:rPr>
        <w:t xml:space="preserve"> </w:t>
      </w:r>
      <w:r>
        <w:rPr>
          <w:rFonts w:hint="eastAsia"/>
          <w:sz w:val="32"/>
          <w:szCs w:val="32"/>
        </w:rPr>
        <w:t>高兴波，油工。安全意识淡薄，使用国家明令禁止外墙作业时不得使用座板式单人吊具进行高空作业，缺乏安全常识，使用总重不足75公斤的3块混凝土配重块对吊绳的一端进行固定，导致配重过轻，人和配重一起从高处坠落，是此起事故的直接责任者，鉴于本人在事故中死亡，免于追究其责任。</w:t>
      </w:r>
    </w:p>
    <w:p w14:paraId="59F82C07">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王帅，</w:t>
      </w:r>
      <w:r>
        <w:rPr>
          <w:rFonts w:hint="eastAsia" w:ascii="方正仿宋简体" w:hAnsi="方正仿宋简体" w:eastAsia="方正仿宋简体" w:cs="方正仿宋简体"/>
          <w:sz w:val="32"/>
          <w:szCs w:val="32"/>
          <w:highlight w:val="none"/>
          <w:lang w:val="en-US" w:eastAsia="zh-CN"/>
        </w:rPr>
        <w:t>哈尔滨筑鹏建筑工程有限公司安</w:t>
      </w:r>
      <w:r>
        <w:rPr>
          <w:rFonts w:hint="eastAsia" w:ascii="方正仿宋简体" w:hAnsi="方正仿宋简体" w:eastAsia="方正仿宋简体" w:cs="方正仿宋简体"/>
          <w:sz w:val="32"/>
          <w:szCs w:val="32"/>
          <w:lang w:val="en-US" w:eastAsia="zh-CN"/>
        </w:rPr>
        <w:t>全员。未认真履行工作职责，对作业现场存在的安全隐患没能及时发现和整改，没能及时制止冒险作业的行为，在此起事故中负有安全管理责任。以上行为违反了《中华人民共和国安全生产法》第二十五条第（五）项、第（六）项</w:t>
      </w:r>
      <w:r>
        <w:rPr>
          <w:rFonts w:hint="default" w:ascii="Times New Roman" w:hAnsi="Times New Roman" w:eastAsia="方正仿宋简体" w:cs="Times New Roman"/>
          <w:sz w:val="32"/>
          <w:szCs w:val="32"/>
          <w:vertAlign w:val="superscript"/>
          <w:lang w:val="en-US" w:eastAsia="zh-CN"/>
        </w:rPr>
        <w:t>7</w:t>
      </w:r>
      <w:r>
        <w:rPr>
          <w:rFonts w:hint="eastAsia" w:ascii="方正仿宋简体" w:hAnsi="方正仿宋简体" w:eastAsia="方正仿宋简体" w:cs="方正仿宋简体"/>
          <w:sz w:val="32"/>
          <w:szCs w:val="32"/>
          <w:lang w:val="en-US" w:eastAsia="zh-CN"/>
        </w:rPr>
        <w:t>规定，依据《安全生产违法行为行政处罚办法》第四十五条第（一）项</w:t>
      </w:r>
      <w:r>
        <w:rPr>
          <w:rFonts w:hint="default" w:ascii="Times New Roman" w:hAnsi="Times New Roman" w:eastAsia="方正仿宋简体" w:cs="Times New Roman"/>
          <w:sz w:val="32"/>
          <w:szCs w:val="32"/>
          <w:vertAlign w:val="superscript"/>
          <w:lang w:val="en-US" w:eastAsia="zh-CN"/>
        </w:rPr>
        <w:t>8</w:t>
      </w:r>
      <w:r>
        <w:rPr>
          <w:rFonts w:hint="eastAsia" w:ascii="方正仿宋简体" w:hAnsi="方正仿宋简体" w:eastAsia="方正仿宋简体" w:cs="方正仿宋简体"/>
          <w:sz w:val="32"/>
          <w:szCs w:val="32"/>
          <w:lang w:val="en-US" w:eastAsia="zh-CN"/>
        </w:rPr>
        <w:t>规定，对其处以玖千元罚款的行政处罚。</w:t>
      </w:r>
    </w:p>
    <w:p w14:paraId="5A48AA10">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sz w:val="32"/>
          <w:szCs w:val="32"/>
        </w:rPr>
        <w:t>陈彦国</w:t>
      </w:r>
      <w:r>
        <w:rPr>
          <w:rFonts w:hint="eastAsia"/>
          <w:sz w:val="32"/>
          <w:szCs w:val="32"/>
          <w:highlight w:val="none"/>
        </w:rPr>
        <w:t>，哈尔滨筑鹏建筑工程有限公司工</w:t>
      </w:r>
      <w:r>
        <w:rPr>
          <w:rFonts w:hint="eastAsia"/>
          <w:sz w:val="32"/>
          <w:szCs w:val="32"/>
        </w:rPr>
        <w:t>长。履行安全职责不到位，对现场存在的隐患没能及时发现和整改，安全技术交底和安全培训工作流于形式，未能制止和纠正违章作业，对此起事故负有安全管理责任，以上行为违反了《中华人民共和国安全生产法》第二十五</w:t>
      </w:r>
      <w:r>
        <w:rPr>
          <w:rFonts w:hint="eastAsia"/>
          <w:sz w:val="32"/>
          <w:szCs w:val="32"/>
          <w:highlight w:val="none"/>
        </w:rPr>
        <w:t>条第</w:t>
      </w:r>
      <w:r>
        <w:rPr>
          <w:rFonts w:hint="eastAsia"/>
          <w:sz w:val="32"/>
          <w:szCs w:val="32"/>
          <w:highlight w:val="none"/>
          <w:lang w:eastAsia="zh-CN"/>
        </w:rPr>
        <w:t>（二）</w:t>
      </w:r>
      <w:r>
        <w:rPr>
          <w:rFonts w:hint="eastAsia"/>
          <w:sz w:val="32"/>
          <w:szCs w:val="32"/>
          <w:highlight w:val="none"/>
        </w:rPr>
        <w:t>项</w:t>
      </w:r>
      <w:r>
        <w:rPr>
          <w:rFonts w:hint="eastAsia"/>
          <w:sz w:val="32"/>
          <w:szCs w:val="32"/>
          <w:highlight w:val="none"/>
          <w:vertAlign w:val="superscript"/>
          <w:lang w:val="en-US" w:eastAsia="zh-CN"/>
        </w:rPr>
        <w:t>9</w:t>
      </w:r>
      <w:r>
        <w:rPr>
          <w:rFonts w:hint="eastAsia"/>
          <w:sz w:val="32"/>
          <w:szCs w:val="32"/>
          <w:highlight w:val="none"/>
          <w:lang w:eastAsia="zh-CN"/>
        </w:rPr>
        <w:t>、</w:t>
      </w:r>
      <w:r>
        <w:rPr>
          <w:rFonts w:hint="eastAsia"/>
          <w:sz w:val="32"/>
          <w:szCs w:val="32"/>
          <w:highlight w:val="none"/>
        </w:rPr>
        <w:t>第</w:t>
      </w:r>
      <w:r>
        <w:rPr>
          <w:rFonts w:hint="eastAsia"/>
          <w:sz w:val="32"/>
          <w:szCs w:val="32"/>
          <w:lang w:eastAsia="zh-CN"/>
        </w:rPr>
        <w:t>（</w:t>
      </w:r>
      <w:r>
        <w:rPr>
          <w:rFonts w:hint="eastAsia"/>
          <w:sz w:val="32"/>
          <w:szCs w:val="32"/>
        </w:rPr>
        <w:t>五</w:t>
      </w:r>
      <w:r>
        <w:rPr>
          <w:rFonts w:hint="eastAsia"/>
          <w:sz w:val="32"/>
          <w:szCs w:val="32"/>
          <w:lang w:eastAsia="zh-CN"/>
        </w:rPr>
        <w:t>）</w:t>
      </w:r>
      <w:r>
        <w:rPr>
          <w:rFonts w:hint="eastAsia"/>
          <w:sz w:val="32"/>
          <w:szCs w:val="32"/>
        </w:rPr>
        <w:t>项、第</w:t>
      </w:r>
      <w:r>
        <w:rPr>
          <w:rFonts w:hint="eastAsia"/>
          <w:sz w:val="32"/>
          <w:szCs w:val="32"/>
          <w:lang w:eastAsia="zh-CN"/>
        </w:rPr>
        <w:t>（</w:t>
      </w:r>
      <w:r>
        <w:rPr>
          <w:rFonts w:hint="eastAsia"/>
          <w:sz w:val="32"/>
          <w:szCs w:val="32"/>
        </w:rPr>
        <w:t>六</w:t>
      </w:r>
      <w:r>
        <w:rPr>
          <w:rFonts w:hint="eastAsia"/>
          <w:sz w:val="32"/>
          <w:szCs w:val="32"/>
          <w:lang w:eastAsia="zh-CN"/>
        </w:rPr>
        <w:t>）</w:t>
      </w:r>
      <w:r>
        <w:rPr>
          <w:rFonts w:hint="eastAsia"/>
          <w:sz w:val="32"/>
          <w:szCs w:val="32"/>
        </w:rPr>
        <w:t>项的规</w:t>
      </w:r>
      <w:r>
        <w:rPr>
          <w:rFonts w:hint="eastAsia" w:ascii="方正仿宋简体" w:hAnsi="方正仿宋简体" w:eastAsia="方正仿宋简体" w:cs="方正仿宋简体"/>
          <w:sz w:val="32"/>
          <w:szCs w:val="32"/>
          <w:lang w:val="en-US" w:eastAsia="zh-CN"/>
        </w:rPr>
        <w:t>定，依据《安全生产违法行为行政处罚办法》第四十五条第（一）项规定，建议对其处以柒仟元罚款的行政处罚。</w:t>
      </w:r>
    </w:p>
    <w:p w14:paraId="4CE8A59B">
      <w:pPr>
        <w:pStyle w:val="2"/>
        <w:numPr>
          <w:ilvl w:val="0"/>
          <w:numId w:val="2"/>
        </w:numPr>
        <w:ind w:left="0" w:leftChars="0" w:firstLine="640" w:firstLineChars="200"/>
        <w:jc w:val="both"/>
        <w:rPr>
          <w:rFonts w:hint="eastAsia" w:ascii="Times New Roman" w:hAnsi="Times New Roman" w:eastAsia="方正仿宋简体" w:cstheme="minorBidi"/>
          <w:b w:val="0"/>
          <w:kern w:val="2"/>
          <w:sz w:val="32"/>
          <w:szCs w:val="32"/>
          <w:lang w:val="en-US" w:eastAsia="zh-CN" w:bidi="ar-SA"/>
        </w:rPr>
      </w:pPr>
      <w:r>
        <w:rPr>
          <w:rFonts w:hint="eastAsia" w:ascii="Times New Roman" w:hAnsi="Times New Roman" w:eastAsia="方正仿宋简体" w:cstheme="minorBidi"/>
          <w:b w:val="0"/>
          <w:kern w:val="2"/>
          <w:sz w:val="32"/>
          <w:szCs w:val="32"/>
          <w:lang w:val="en-US" w:eastAsia="zh-CN" w:bidi="ar-SA"/>
        </w:rPr>
        <w:t>刘洋，哈尔滨筑鹏建筑工程有限公司项目部经理，未建</w:t>
      </w:r>
    </w:p>
    <w:p w14:paraId="3CC10C10">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Times New Roman" w:hAnsi="Times New Roman" w:eastAsia="方正仿宋简体" w:cstheme="minorBidi"/>
          <w:b w:val="0"/>
          <w:kern w:val="2"/>
          <w:sz w:val="32"/>
          <w:szCs w:val="32"/>
          <w:lang w:val="en-US" w:eastAsia="zh-CN" w:bidi="ar-SA"/>
        </w:rPr>
      </w:pPr>
    </w:p>
    <w:p w14:paraId="173F3980">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Theme="minorEastAsia" w:hAnsiTheme="minorEastAsia" w:eastAsiaTheme="minorEastAsia" w:cstheme="minorEastAsia"/>
          <w:b w:val="0"/>
          <w:kern w:val="2"/>
          <w:sz w:val="18"/>
          <w:szCs w:val="18"/>
          <w:highlight w:val="none"/>
          <w:lang w:val="en-US" w:eastAsia="zh-CN" w:bidi="ar-SA"/>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[7]</w:t>
      </w:r>
      <w:r>
        <w:rPr>
          <w:rFonts w:hint="eastAsia" w:asciiTheme="minorEastAsia" w:hAnsiTheme="minorEastAsia" w:eastAsiaTheme="minorEastAsia" w:cstheme="minorEastAsia"/>
          <w:b w:val="0"/>
          <w:kern w:val="2"/>
          <w:sz w:val="18"/>
          <w:szCs w:val="18"/>
          <w:highlight w:val="none"/>
          <w:lang w:val="en-US" w:eastAsia="zh-CN" w:bidi="ar-SA"/>
        </w:rPr>
        <w:t xml:space="preserve"> 《中华人民共和国安全生产法》第二十五条第（六）项 ： 生产经营单位的安全生产管理机构以及安全生产管理人员履行下列职责：（六）制止和纠正违章指挥、强令冒险作业、违反操作规程的行为。</w:t>
      </w:r>
    </w:p>
    <w:p w14:paraId="2C53AE23">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Theme="minorEastAsia" w:hAnsiTheme="minorEastAsia" w:eastAsiaTheme="minorEastAsia" w:cstheme="minorEastAsia"/>
          <w:b w:val="0"/>
          <w:kern w:val="2"/>
          <w:sz w:val="18"/>
          <w:szCs w:val="18"/>
          <w:highlight w:val="none"/>
          <w:lang w:val="en-US" w:eastAsia="zh-CN" w:bidi="ar-SA"/>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[8]</w:t>
      </w:r>
      <w:r>
        <w:rPr>
          <w:rFonts w:hint="eastAsia" w:asciiTheme="minorEastAsia" w:hAnsiTheme="minorEastAsia" w:eastAsiaTheme="minorEastAsia" w:cstheme="minorEastAsia"/>
          <w:b w:val="0"/>
          <w:kern w:val="2"/>
          <w:sz w:val="18"/>
          <w:szCs w:val="18"/>
          <w:highlight w:val="none"/>
          <w:lang w:val="en-US" w:eastAsia="zh-CN" w:bidi="ar-SA"/>
        </w:rPr>
        <w:t xml:space="preserve"> 《安全生产违法行为行政处罚办法》第四十五条第（一）项 ： 第四十五条：生产经营单位及其主要负责人或者其他人员有下列行为之一的，给予警告，并可以对生产经营单位处1万元以上3万元以下罚款，对其主要负责人、其他有关人员处1000元以上1万元以下的罚款：（一）违反操作规程或者安全管理规定作业的；</w:t>
      </w:r>
    </w:p>
    <w:p w14:paraId="50C9EB43">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lang w:val="en-US" w:eastAsia="zh-CN"/>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 xml:space="preserve">[9] </w:t>
      </w:r>
      <w:r>
        <w:rPr>
          <w:rFonts w:hint="eastAsia" w:asciiTheme="minorEastAsia" w:hAnsiTheme="minorEastAsia" w:eastAsiaTheme="minorEastAsia" w:cstheme="minorEastAsia"/>
          <w:sz w:val="18"/>
          <w:szCs w:val="18"/>
          <w:highlight w:val="none"/>
        </w:rPr>
        <w:t>《中华人民共和国安全生产法》第二十五条第（</w:t>
      </w:r>
      <w:r>
        <w:rPr>
          <w:rFonts w:hint="eastAsia" w:asciiTheme="minorEastAsia" w:hAnsiTheme="minorEastAsia" w:eastAsiaTheme="minorEastAsia" w:cstheme="minorEastAsia"/>
          <w:sz w:val="18"/>
          <w:szCs w:val="18"/>
          <w:highlight w:val="none"/>
          <w:lang w:eastAsia="zh-CN"/>
        </w:rPr>
        <w:t>二</w:t>
      </w:r>
      <w:r>
        <w:rPr>
          <w:rFonts w:hint="eastAsia" w:asciiTheme="minorEastAsia" w:hAnsiTheme="minorEastAsia" w:eastAsiaTheme="minorEastAsia" w:cstheme="minorEastAsia"/>
          <w:sz w:val="18"/>
          <w:szCs w:val="18"/>
          <w:highlight w:val="none"/>
        </w:rPr>
        <w:t>）项</w:t>
      </w:r>
      <w:r>
        <w:rPr>
          <w:rFonts w:hint="eastAsia" w:asciiTheme="minorEastAsia" w:hAnsiTheme="minorEastAsia" w:eastAsiaTheme="minorEastAsia" w:cstheme="minorEastAsia"/>
          <w:sz w:val="18"/>
          <w:szCs w:val="18"/>
          <w:highlight w:val="none"/>
          <w:lang w:eastAsia="zh-CN"/>
        </w:rPr>
        <w:t>：（二）组织或者参与本单位安全生产教育和培训，如实记录安全生产教育和培训情况；</w:t>
      </w:r>
    </w:p>
    <w:p w14:paraId="0691458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立健全并落实本单位全员安全生产责任制，加强安全生产标准化建设；未组织建立并落实安全风险分级管控和隐患排查治理双重预防工作机制，督促、检查本单位的安全生产工作，及时消除生产安全事故隐患</w:t>
      </w:r>
      <w:r>
        <w:rPr>
          <w:rFonts w:hint="eastAsia" w:ascii="方正仿宋简体" w:hAnsi="方正仿宋简体" w:cs="方正仿宋简体"/>
          <w:sz w:val="32"/>
          <w:szCs w:val="32"/>
          <w:lang w:val="en-US" w:eastAsia="zh-CN"/>
        </w:rPr>
        <w:t>，</w:t>
      </w:r>
      <w:r>
        <w:rPr>
          <w:rFonts w:hint="eastAsia" w:ascii="方正仿宋简体" w:hAnsi="方正仿宋简体" w:eastAsia="方正仿宋简体" w:cs="方正仿宋简体"/>
          <w:sz w:val="32"/>
          <w:szCs w:val="32"/>
          <w:lang w:val="en-US" w:eastAsia="zh-CN"/>
        </w:rPr>
        <w:t>以上行为违反了《中华人民共和国安全生产法》</w:t>
      </w:r>
    </w:p>
    <w:p w14:paraId="711819D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strike w:val="0"/>
          <w:dstrike w:val="0"/>
          <w:color w:val="auto"/>
          <w:sz w:val="32"/>
          <w:szCs w:val="32"/>
          <w:highlight w:val="none"/>
          <w:lang w:val="en-US" w:eastAsia="zh-CN"/>
        </w:rPr>
        <w:t>第</w:t>
      </w:r>
      <w:r>
        <w:rPr>
          <w:rFonts w:hint="eastAsia"/>
          <w:strike w:val="0"/>
          <w:dstrike w:val="0"/>
          <w:color w:val="auto"/>
          <w:sz w:val="32"/>
          <w:szCs w:val="32"/>
          <w:highlight w:val="none"/>
          <w:vertAlign w:val="baseline"/>
          <w:lang w:val="en-US" w:eastAsia="zh-CN"/>
        </w:rPr>
        <w:t>二十一条第一项</w:t>
      </w:r>
      <w:r>
        <w:rPr>
          <w:rFonts w:hint="eastAsia"/>
          <w:strike w:val="0"/>
          <w:dstrike w:val="0"/>
          <w:color w:val="auto"/>
          <w:sz w:val="32"/>
          <w:szCs w:val="32"/>
          <w:highlight w:val="none"/>
          <w:vertAlign w:val="superscript"/>
          <w:lang w:val="en-US" w:eastAsia="zh-CN"/>
        </w:rPr>
        <w:t>10</w:t>
      </w:r>
      <w:r>
        <w:rPr>
          <w:rFonts w:hint="eastAsia"/>
          <w:strike w:val="0"/>
          <w:dstrike w:val="0"/>
          <w:color w:val="auto"/>
          <w:sz w:val="32"/>
          <w:szCs w:val="32"/>
          <w:highlight w:val="none"/>
          <w:vertAlign w:val="baseline"/>
          <w:lang w:val="en-US" w:eastAsia="zh-CN"/>
        </w:rPr>
        <w:t>、第五项</w:t>
      </w:r>
      <w:r>
        <w:rPr>
          <w:rFonts w:hint="eastAsia"/>
          <w:strike w:val="0"/>
          <w:dstrike w:val="0"/>
          <w:color w:val="auto"/>
          <w:sz w:val="32"/>
          <w:szCs w:val="32"/>
          <w:highlight w:val="none"/>
          <w:vertAlign w:val="superscript"/>
          <w:lang w:val="en-US" w:eastAsia="zh-CN"/>
        </w:rPr>
        <w:t>11</w:t>
      </w:r>
      <w:r>
        <w:rPr>
          <w:rFonts w:hint="eastAsia"/>
          <w:sz w:val="32"/>
          <w:szCs w:val="32"/>
          <w:highlight w:val="none"/>
          <w:lang w:val="en-US" w:eastAsia="zh-CN"/>
        </w:rPr>
        <w:t>的</w:t>
      </w:r>
      <w:r>
        <w:rPr>
          <w:rFonts w:hint="eastAsia"/>
          <w:sz w:val="32"/>
          <w:szCs w:val="32"/>
          <w:lang w:val="en-US" w:eastAsia="zh-CN"/>
        </w:rPr>
        <w:t>规定，依据《安全生产违法行为行政处罚办法》第四十五条第（一）项规定，建议对其处伍仟元罚款的行政处罚。</w:t>
      </w:r>
    </w:p>
    <w:p w14:paraId="6EAAFFE4">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赵正良，哈尔滨筑鹏建筑工程有限公司法人。对安全生</w:t>
      </w:r>
      <w:r>
        <w:rPr>
          <w:rFonts w:hint="eastAsia" w:ascii="方正仿宋简体" w:hAnsi="方正仿宋简体" w:eastAsia="方正仿宋简体" w:cs="方正仿宋简体"/>
          <w:sz w:val="32"/>
          <w:szCs w:val="32"/>
          <w:lang w:eastAsia="zh-CN"/>
        </w:rPr>
        <w:t>产工作</w:t>
      </w:r>
      <w:r>
        <w:rPr>
          <w:rFonts w:hint="eastAsia" w:ascii="方正仿宋简体" w:hAnsi="方正仿宋简体" w:cs="方正仿宋简体"/>
          <w:sz w:val="32"/>
          <w:szCs w:val="32"/>
          <w:lang w:eastAsia="zh-CN"/>
        </w:rPr>
        <w:t>重视不够，未有效督促、检查本单位的安全生产工作，及时</w:t>
      </w:r>
      <w:r>
        <w:rPr>
          <w:rFonts w:hint="eastAsia" w:ascii="方正仿宋简体" w:hAnsi="方正仿宋简体" w:cs="方正仿宋简体"/>
          <w:sz w:val="32"/>
          <w:szCs w:val="32"/>
          <w:lang w:val="en-US" w:eastAsia="zh-CN"/>
        </w:rPr>
        <w:t>消除制度和实际工作中的事故隐患，对此起事故负主要领导责</w:t>
      </w:r>
    </w:p>
    <w:p w14:paraId="3B19F74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任。以上行为违反了《中华人民共和国安全生产法》第二十一条</w:t>
      </w:r>
    </w:p>
    <w:p w14:paraId="7D1A5E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ascii="方正仿宋简体" w:hAnsi="方正仿宋简体" w:eastAsia="方正仿宋简体" w:cs="方正仿宋简体"/>
          <w:sz w:val="32"/>
          <w:szCs w:val="32"/>
          <w:highlight w:val="none"/>
        </w:rPr>
        <w:t>第（</w:t>
      </w:r>
      <w:r>
        <w:rPr>
          <w:rFonts w:hint="eastAsia" w:ascii="方正仿宋简体" w:hAnsi="方正仿宋简体" w:cs="方正仿宋简体"/>
          <w:sz w:val="32"/>
          <w:szCs w:val="32"/>
          <w:highlight w:val="none"/>
          <w:lang w:eastAsia="zh-CN"/>
        </w:rPr>
        <w:t>一</w:t>
      </w:r>
      <w:r>
        <w:rPr>
          <w:rFonts w:hint="eastAsia" w:ascii="方正仿宋简体" w:hAnsi="方正仿宋简体" w:eastAsia="方正仿宋简体" w:cs="方正仿宋简体"/>
          <w:sz w:val="32"/>
          <w:szCs w:val="32"/>
          <w:highlight w:val="none"/>
        </w:rPr>
        <w:t>）项</w:t>
      </w:r>
      <w:r>
        <w:rPr>
          <w:rFonts w:hint="eastAsia" w:ascii="方正仿宋简体" w:hAnsi="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第（</w:t>
      </w:r>
      <w:r>
        <w:rPr>
          <w:rFonts w:hint="eastAsia" w:ascii="方正仿宋简体" w:hAnsi="方正仿宋简体" w:cs="方正仿宋简体"/>
          <w:sz w:val="32"/>
          <w:szCs w:val="32"/>
          <w:highlight w:val="none"/>
          <w:lang w:eastAsia="zh-CN"/>
        </w:rPr>
        <w:t>三</w:t>
      </w:r>
      <w:r>
        <w:rPr>
          <w:rFonts w:hint="eastAsia" w:ascii="方正仿宋简体" w:hAnsi="方正仿宋简体" w:eastAsia="方正仿宋简体" w:cs="方正仿宋简体"/>
          <w:sz w:val="32"/>
          <w:szCs w:val="32"/>
          <w:highlight w:val="none"/>
        </w:rPr>
        <w:t>）项</w:t>
      </w:r>
      <w:r>
        <w:rPr>
          <w:rFonts w:hint="eastAsia" w:cs="Times New Roman"/>
          <w:sz w:val="32"/>
          <w:szCs w:val="32"/>
          <w:highlight w:val="none"/>
          <w:vertAlign w:val="superscript"/>
          <w:lang w:val="en-US" w:eastAsia="zh-CN"/>
        </w:rPr>
        <w:t>12</w:t>
      </w:r>
      <w:r>
        <w:rPr>
          <w:rFonts w:hint="eastAsia" w:ascii="方正仿宋简体" w:hAnsi="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第（五）项的规定，依据《中华人民共和国安全生产法》第九十五条第（一）项</w:t>
      </w:r>
      <w:r>
        <w:rPr>
          <w:rFonts w:hint="eastAsia" w:cs="Times New Roman"/>
          <w:sz w:val="32"/>
          <w:szCs w:val="32"/>
          <w:highlight w:val="none"/>
          <w:vertAlign w:val="superscript"/>
          <w:lang w:val="en-US" w:eastAsia="zh-CN"/>
        </w:rPr>
        <w:t>13</w:t>
      </w:r>
      <w:r>
        <w:rPr>
          <w:rFonts w:hint="eastAsia" w:ascii="方正仿宋简体" w:hAnsi="方正仿宋简体" w:eastAsia="方正仿宋简体" w:cs="方正仿宋简体"/>
          <w:sz w:val="32"/>
          <w:szCs w:val="32"/>
          <w:highlight w:val="none"/>
        </w:rPr>
        <w:t>的规定，建</w:t>
      </w:r>
      <w:r>
        <w:rPr>
          <w:rFonts w:hint="eastAsia" w:ascii="方正仿宋简体" w:hAnsi="方正仿宋简体" w:eastAsia="方正仿宋简体" w:cs="方正仿宋简体"/>
          <w:sz w:val="32"/>
          <w:szCs w:val="32"/>
        </w:rPr>
        <w:t>议对其处上一年年收入百分之四十的罚款（即壹万捌仟捌佰陆拾圆）。</w:t>
      </w:r>
    </w:p>
    <w:p w14:paraId="2703BCB7">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黄松，黑龙江华达工程项目管理有限公司监理工程师。负责该项目的安全监理工作，在工作中监督检查不到位，未能及时排查事故隐患，没有尽到安全监督管理职责。未能发现作业人</w:t>
      </w:r>
    </w:p>
    <w:p w14:paraId="2CF05659">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方正仿宋简体" w:hAnsi="方正仿宋简体" w:eastAsia="方正仿宋简体" w:cs="方正仿宋简体"/>
          <w:sz w:val="32"/>
          <w:szCs w:val="32"/>
          <w:lang w:val="en-US" w:eastAsia="zh-CN"/>
        </w:rPr>
        <w:t>员无证上岗、违规使用座板式单人吊具进行高空作业。在此起事</w:t>
      </w:r>
    </w:p>
    <w:p w14:paraId="1FBD6691">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p w14:paraId="476A7618">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Theme="minorEastAsia" w:hAnsiTheme="minorEastAsia" w:eastAsiaTheme="minorEastAsia" w:cstheme="minorEastAsia"/>
          <w:sz w:val="18"/>
          <w:szCs w:val="18"/>
          <w:highlight w:val="none"/>
          <w:lang w:eastAsia="zh-CN"/>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[10]</w:t>
      </w:r>
      <w:r>
        <w:rPr>
          <w:rFonts w:hint="eastAsia" w:asciiTheme="minorEastAsia" w:hAnsiTheme="minorEastAsia" w:eastAsiaTheme="minorEastAsia" w:cstheme="minorEastAsia"/>
          <w:sz w:val="18"/>
          <w:szCs w:val="18"/>
          <w:highlight w:val="none"/>
          <w:lang w:val="en-US" w:eastAsia="zh-CN"/>
        </w:rPr>
        <w:t xml:space="preserve"> </w:t>
      </w:r>
      <w:r>
        <w:rPr>
          <w:rFonts w:hint="eastAsia" w:asciiTheme="minorEastAsia" w:hAnsiTheme="minorEastAsia" w:eastAsiaTheme="minorEastAsia" w:cstheme="minorEastAsia"/>
          <w:sz w:val="18"/>
          <w:szCs w:val="18"/>
          <w:highlight w:val="none"/>
        </w:rPr>
        <w:t>《中华人民共和国安全生产法》第二十</w:t>
      </w:r>
      <w:r>
        <w:rPr>
          <w:rFonts w:hint="eastAsia" w:asciiTheme="minorEastAsia" w:hAnsiTheme="minorEastAsia" w:eastAsiaTheme="minorEastAsia" w:cstheme="minorEastAsia"/>
          <w:sz w:val="18"/>
          <w:szCs w:val="18"/>
          <w:highlight w:val="none"/>
          <w:lang w:eastAsia="zh-CN"/>
        </w:rPr>
        <w:t>一</w:t>
      </w:r>
      <w:r>
        <w:rPr>
          <w:rFonts w:hint="eastAsia" w:asciiTheme="minorEastAsia" w:hAnsiTheme="minorEastAsia" w:eastAsiaTheme="minorEastAsia" w:cstheme="minorEastAsia"/>
          <w:sz w:val="18"/>
          <w:szCs w:val="18"/>
          <w:highlight w:val="none"/>
        </w:rPr>
        <w:t>条第（一）项</w:t>
      </w:r>
      <w:r>
        <w:rPr>
          <w:rFonts w:hint="eastAsia" w:asciiTheme="minorEastAsia" w:hAnsiTheme="minorEastAsia" w:eastAsiaTheme="minorEastAsia" w:cstheme="minorEastAsia"/>
          <w:sz w:val="18"/>
          <w:szCs w:val="18"/>
          <w:highlight w:val="none"/>
          <w:lang w:eastAsia="zh-CN"/>
        </w:rPr>
        <w:t>：建立健全并落实本单位全员安全生产责任制，加强安全生产标准化建设；</w:t>
      </w:r>
    </w:p>
    <w:p w14:paraId="1E0DF9B4">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Theme="minorEastAsia" w:hAnsiTheme="minorEastAsia" w:eastAsiaTheme="minorEastAsia" w:cstheme="minorEastAsia"/>
          <w:sz w:val="18"/>
          <w:szCs w:val="18"/>
          <w:highlight w:val="none"/>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[11]</w:t>
      </w:r>
      <w:r>
        <w:rPr>
          <w:rFonts w:hint="eastAsia" w:asciiTheme="minorEastAsia" w:hAnsiTheme="minorEastAsia" w:eastAsiaTheme="minorEastAsia" w:cstheme="minorEastAsia"/>
          <w:sz w:val="18"/>
          <w:szCs w:val="18"/>
          <w:highlight w:val="none"/>
          <w:lang w:val="en-US" w:eastAsia="zh-CN"/>
        </w:rPr>
        <w:t xml:space="preserve"> </w:t>
      </w:r>
      <w:r>
        <w:rPr>
          <w:rFonts w:hint="eastAsia" w:asciiTheme="minorEastAsia" w:hAnsiTheme="minorEastAsia" w:eastAsiaTheme="minorEastAsia" w:cstheme="minorEastAsia"/>
          <w:sz w:val="18"/>
          <w:szCs w:val="18"/>
          <w:highlight w:val="none"/>
        </w:rPr>
        <w:t>《中华人民共和国安全生产法》第二十一条第（五）项</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生产经营单位的主要负责人对本单位安全生产工作负有下列职责:（五）组织建立并落实安全风险分级管控和隐患排查治理双重预防工作机制，督促、检查本单位的安全生产工作，及时消除生产安全事故隐患。</w:t>
      </w:r>
    </w:p>
    <w:p w14:paraId="33818E65">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Theme="minorEastAsia" w:hAnsiTheme="minorEastAsia" w:eastAsiaTheme="minorEastAsia" w:cstheme="minorEastAsia"/>
          <w:sz w:val="18"/>
          <w:szCs w:val="18"/>
          <w:highlight w:val="none"/>
          <w:lang w:eastAsia="zh-CN"/>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[12]</w:t>
      </w:r>
      <w:r>
        <w:rPr>
          <w:rFonts w:hint="eastAsia" w:asciiTheme="minorEastAsia" w:hAnsiTheme="minorEastAsia" w:eastAsiaTheme="minorEastAsia" w:cstheme="minorEastAsia"/>
          <w:sz w:val="18"/>
          <w:szCs w:val="18"/>
          <w:highlight w:val="none"/>
        </w:rPr>
        <w:t>《中华人民共和国安全生产法》第二十</w:t>
      </w:r>
      <w:r>
        <w:rPr>
          <w:rFonts w:hint="eastAsia" w:asciiTheme="minorEastAsia" w:hAnsiTheme="minorEastAsia" w:eastAsiaTheme="minorEastAsia" w:cstheme="minorEastAsia"/>
          <w:sz w:val="18"/>
          <w:szCs w:val="18"/>
          <w:highlight w:val="none"/>
          <w:lang w:eastAsia="zh-CN"/>
        </w:rPr>
        <w:t>一</w:t>
      </w:r>
      <w:r>
        <w:rPr>
          <w:rFonts w:hint="eastAsia" w:asciiTheme="minorEastAsia" w:hAnsiTheme="minorEastAsia" w:eastAsiaTheme="minorEastAsia" w:cstheme="minorEastAsia"/>
          <w:sz w:val="18"/>
          <w:szCs w:val="18"/>
          <w:highlight w:val="none"/>
        </w:rPr>
        <w:t>条第（</w:t>
      </w:r>
      <w:r>
        <w:rPr>
          <w:rFonts w:hint="eastAsia" w:asciiTheme="minorEastAsia" w:hAnsiTheme="minorEastAsia" w:eastAsiaTheme="minorEastAsia" w:cstheme="minorEastAsia"/>
          <w:sz w:val="18"/>
          <w:szCs w:val="18"/>
          <w:highlight w:val="none"/>
          <w:lang w:eastAsia="zh-CN"/>
        </w:rPr>
        <w:t>三</w:t>
      </w:r>
      <w:r>
        <w:rPr>
          <w:rFonts w:hint="eastAsia" w:asciiTheme="minorEastAsia" w:hAnsiTheme="minorEastAsia" w:eastAsiaTheme="minorEastAsia" w:cstheme="minorEastAsia"/>
          <w:sz w:val="18"/>
          <w:szCs w:val="18"/>
          <w:highlight w:val="none"/>
        </w:rPr>
        <w:t>）项</w:t>
      </w:r>
      <w:r>
        <w:rPr>
          <w:rFonts w:hint="eastAsia" w:asciiTheme="minorEastAsia" w:hAnsiTheme="minorEastAsia" w:eastAsiaTheme="minorEastAsia" w:cstheme="minorEastAsia"/>
          <w:sz w:val="18"/>
          <w:szCs w:val="18"/>
          <w:highlight w:val="none"/>
          <w:lang w:eastAsia="zh-CN"/>
        </w:rPr>
        <w:t>：组织制定并实施本单位安全生产教育和培训计划；</w:t>
      </w:r>
    </w:p>
    <w:p w14:paraId="1C36F4EE">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方正仿宋简体" w:hAnsi="方正仿宋简体" w:eastAsia="方正仿宋简体" w:cs="方正仿宋简体"/>
          <w:sz w:val="32"/>
          <w:szCs w:val="32"/>
          <w:lang w:val="en-US" w:eastAsia="zh-CN"/>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[13]</w:t>
      </w:r>
      <w:r>
        <w:rPr>
          <w:rFonts w:hint="eastAsia" w:asciiTheme="minorEastAsia" w:hAnsiTheme="minorEastAsia" w:eastAsiaTheme="minorEastAsia" w:cstheme="minorEastAsia"/>
          <w:sz w:val="18"/>
          <w:szCs w:val="18"/>
        </w:rPr>
        <w:t xml:space="preserve"> 《中华人民共和国安全生产法》第九十五条第（一）项 生产经营单位的主要负责人未履行本法规定的安全生产管理职责，导致发生生产安全事故的，由应急管理部门依照下列规定处以罚款:（一）发生一般事故的，处上一年年收入百分之四十的罚款。</w:t>
      </w:r>
    </w:p>
    <w:p w14:paraId="7D112286">
      <w:pPr>
        <w:pStyle w:val="2"/>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故中负有监督管理责任。以上行为违反了《建设工程安全生产管理条例》第十四条</w:t>
      </w:r>
      <w:r>
        <w:rPr>
          <w:rFonts w:hint="eastAsia" w:eastAsia="方正仿宋简体" w:cs="Times New Roman"/>
          <w:sz w:val="32"/>
          <w:szCs w:val="32"/>
          <w:vertAlign w:val="superscript"/>
          <w:lang w:val="en-US" w:eastAsia="zh-CN"/>
        </w:rPr>
        <w:t>14</w:t>
      </w:r>
      <w:r>
        <w:rPr>
          <w:rFonts w:hint="eastAsia" w:ascii="方正仿宋简体" w:hAnsi="方正仿宋简体" w:eastAsia="方正仿宋简体" w:cs="方正仿宋简体"/>
          <w:sz w:val="32"/>
          <w:szCs w:val="32"/>
          <w:lang w:val="en-US" w:eastAsia="zh-CN"/>
        </w:rPr>
        <w:t>规定，依据《安全生产违法行为行政处罚办</w:t>
      </w:r>
    </w:p>
    <w:p w14:paraId="22A1DF7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val="0"/>
          <w:kern w:val="2"/>
          <w:sz w:val="32"/>
          <w:szCs w:val="32"/>
          <w:highlight w:val="none"/>
          <w:lang w:val="en-US" w:eastAsia="zh-CN" w:bidi="ar-SA"/>
        </w:rPr>
        <w:t>法》</w:t>
      </w:r>
      <w:r>
        <w:rPr>
          <w:rFonts w:hint="eastAsia"/>
          <w:sz w:val="32"/>
          <w:szCs w:val="32"/>
        </w:rPr>
        <w:t>第四十五条第（一）项规定，建议对其处以</w:t>
      </w:r>
      <w:r>
        <w:rPr>
          <w:rFonts w:hint="eastAsia"/>
          <w:sz w:val="32"/>
          <w:szCs w:val="32"/>
          <w:lang w:eastAsia="zh-CN"/>
        </w:rPr>
        <w:t>伍</w:t>
      </w:r>
      <w:r>
        <w:rPr>
          <w:rFonts w:hint="eastAsia"/>
          <w:sz w:val="32"/>
          <w:szCs w:val="32"/>
        </w:rPr>
        <w:t>千元罚款的行政处罚。</w:t>
      </w:r>
    </w:p>
    <w:p w14:paraId="02E0A2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黑体" w:hAnsi="黑体" w:eastAsia="黑体" w:cs="黑体"/>
          <w:sz w:val="32"/>
          <w:szCs w:val="32"/>
        </w:rPr>
        <w:t>六、事故防范和整改措施</w:t>
      </w:r>
    </w:p>
    <w:p w14:paraId="5E1444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1</w:t>
      </w:r>
      <w:r>
        <w:rPr>
          <w:rFonts w:hint="eastAsia"/>
          <w:sz w:val="32"/>
          <w:szCs w:val="32"/>
          <w:lang w:eastAsia="zh-CN"/>
        </w:rPr>
        <w:t>.</w:t>
      </w:r>
      <w:r>
        <w:rPr>
          <w:rFonts w:hint="eastAsia"/>
          <w:sz w:val="32"/>
          <w:szCs w:val="32"/>
          <w:lang w:val="en-US" w:eastAsia="zh-CN"/>
        </w:rPr>
        <w:t xml:space="preserve"> </w:t>
      </w:r>
      <w:r>
        <w:rPr>
          <w:rFonts w:hint="eastAsia"/>
          <w:sz w:val="32"/>
          <w:szCs w:val="32"/>
        </w:rPr>
        <w:t>哈尔滨市筑鹏建筑工程有限公司认真吸取事故教训，要举一反三，制定施工方案要严谨，实施层层审查，做到合法合规后并有效组织实施。</w:t>
      </w:r>
    </w:p>
    <w:p w14:paraId="1102AE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2</w:t>
      </w:r>
      <w:r>
        <w:rPr>
          <w:rFonts w:hint="eastAsia"/>
          <w:sz w:val="32"/>
          <w:szCs w:val="32"/>
          <w:lang w:eastAsia="zh-CN"/>
        </w:rPr>
        <w:t>.</w:t>
      </w:r>
      <w:r>
        <w:rPr>
          <w:rFonts w:hint="eastAsia"/>
          <w:sz w:val="32"/>
          <w:szCs w:val="32"/>
          <w:lang w:val="en-US" w:eastAsia="zh-CN"/>
        </w:rPr>
        <w:t xml:space="preserve"> </w:t>
      </w:r>
      <w:r>
        <w:rPr>
          <w:rFonts w:hint="eastAsia"/>
          <w:sz w:val="32"/>
          <w:szCs w:val="32"/>
        </w:rPr>
        <w:t>哈尔滨市筑鹏建筑有限公司要针对作业人员自我防护意识差的实际情况开展有针对性的安全培训和教育。施工前开展安全技术交底和安全培训工作，确保其能有效识别岗位危险因素，并熟悉掌握岗位操作技能和安全防范措施。</w:t>
      </w:r>
    </w:p>
    <w:p w14:paraId="29B310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lang w:eastAsia="zh-CN"/>
        </w:rPr>
      </w:pPr>
      <w:r>
        <w:rPr>
          <w:rFonts w:hint="eastAsia"/>
          <w:sz w:val="32"/>
          <w:szCs w:val="32"/>
        </w:rPr>
        <w:t>3</w:t>
      </w:r>
      <w:r>
        <w:rPr>
          <w:rFonts w:hint="eastAsia"/>
          <w:sz w:val="32"/>
          <w:szCs w:val="32"/>
          <w:lang w:eastAsia="zh-CN"/>
        </w:rPr>
        <w:t>.</w:t>
      </w:r>
      <w:r>
        <w:rPr>
          <w:rFonts w:hint="eastAsia"/>
          <w:sz w:val="32"/>
          <w:szCs w:val="32"/>
          <w:lang w:val="en-US" w:eastAsia="zh-CN"/>
        </w:rPr>
        <w:t xml:space="preserve"> </w:t>
      </w:r>
      <w:r>
        <w:rPr>
          <w:rFonts w:hint="eastAsia"/>
          <w:sz w:val="32"/>
          <w:szCs w:val="32"/>
        </w:rPr>
        <w:t>区住建局要</w:t>
      </w:r>
      <w:r>
        <w:rPr>
          <w:rFonts w:hint="eastAsia"/>
          <w:sz w:val="32"/>
          <w:szCs w:val="32"/>
          <w:lang w:eastAsia="zh-CN"/>
        </w:rPr>
        <w:t>充分认识安全生产工作的重要性，进一步提高政治站位，牢固树立安全生产红线意识和安全发展理念，时刻筑牢安全生产思想防线，全面贯彻落实习近平总书记关于安全生产工作的重要讲话和批示指示精神，严格按照“三个责任”和“三个必须”的要求，不折不扣抓好各项工作落实落地。</w:t>
      </w:r>
    </w:p>
    <w:p w14:paraId="2BCAFF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ascii="黑体" w:hAnsi="黑体" w:eastAsia="黑体" w:cs="黑体"/>
          <w:sz w:val="32"/>
          <w:szCs w:val="32"/>
        </w:rPr>
        <w:t>七、事故调查组成员名单</w:t>
      </w:r>
      <w:r>
        <w:rPr>
          <w:rFonts w:hint="eastAsia"/>
          <w:sz w:val="32"/>
          <w:szCs w:val="32"/>
        </w:rPr>
        <w:t xml:space="preserve">    </w:t>
      </w:r>
    </w:p>
    <w:p w14:paraId="231B48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 xml:space="preserve">事故调查组组长：               </w:t>
      </w:r>
    </w:p>
    <w:p w14:paraId="495D3E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32"/>
          <w:szCs w:val="32"/>
        </w:rPr>
      </w:pPr>
      <w:r>
        <w:rPr>
          <w:rFonts w:hint="eastAsia"/>
          <w:sz w:val="32"/>
          <w:szCs w:val="32"/>
        </w:rPr>
        <w:t xml:space="preserve">事故调查组成员：   </w:t>
      </w:r>
    </w:p>
    <w:p w14:paraId="21D1EEAB">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Theme="minorEastAsia" w:hAnsiTheme="minorEastAsia" w:eastAsiaTheme="minorEastAsia" w:cstheme="minorEastAsia"/>
          <w:b w:val="0"/>
          <w:kern w:val="2"/>
          <w:sz w:val="18"/>
          <w:szCs w:val="18"/>
          <w:highlight w:val="none"/>
          <w:lang w:val="en-US" w:eastAsia="zh-CN" w:bidi="ar-SA"/>
        </w:rPr>
      </w:pPr>
    </w:p>
    <w:p w14:paraId="02A4DCBD">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rPr>
      </w:pPr>
    </w:p>
    <w:p w14:paraId="385314C7">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p w14:paraId="5C725BEC">
      <w:pPr>
        <w:pStyle w:val="2"/>
        <w:rPr>
          <w:rFonts w:hint="eastAsia"/>
          <w:sz w:val="32"/>
          <w:szCs w:val="32"/>
        </w:rPr>
      </w:pPr>
    </w:p>
    <w:p w14:paraId="316A6DE3">
      <w:pPr>
        <w:pStyle w:val="2"/>
        <w:rPr>
          <w:rFonts w:hint="eastAsia"/>
          <w:sz w:val="32"/>
          <w:szCs w:val="32"/>
        </w:rPr>
      </w:pPr>
    </w:p>
    <w:p w14:paraId="28D74C21">
      <w:pPr>
        <w:pStyle w:val="2"/>
        <w:rPr>
          <w:rFonts w:hint="eastAsia"/>
          <w:sz w:val="32"/>
          <w:szCs w:val="32"/>
        </w:rPr>
      </w:pPr>
    </w:p>
    <w:p w14:paraId="63B68FD2">
      <w:pPr>
        <w:pStyle w:val="2"/>
        <w:ind w:left="0" w:leftChars="0" w:firstLine="0" w:firstLineChars="0"/>
        <w:jc w:val="both"/>
        <w:rPr>
          <w:rFonts w:hint="eastAsia"/>
          <w:sz w:val="32"/>
          <w:szCs w:val="32"/>
        </w:rPr>
      </w:pPr>
    </w:p>
    <w:p w14:paraId="5E673BD5">
      <w:pPr>
        <w:pStyle w:val="2"/>
        <w:rPr>
          <w:rFonts w:hint="eastAsia"/>
          <w:sz w:val="32"/>
          <w:szCs w:val="32"/>
        </w:rPr>
      </w:pPr>
    </w:p>
    <w:p w14:paraId="7392237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2"/>
          <w:szCs w:val="32"/>
          <w:highlight w:val="none"/>
        </w:rPr>
      </w:pPr>
      <w:r>
        <w:rPr>
          <w:rFonts w:hint="eastAsia"/>
          <w:sz w:val="32"/>
          <w:szCs w:val="32"/>
          <w:highlight w:val="none"/>
          <w:lang w:val="en-US" w:eastAsia="zh-CN"/>
        </w:rPr>
        <w:t xml:space="preserve">            </w:t>
      </w:r>
      <w:r>
        <w:rPr>
          <w:rFonts w:hint="eastAsia"/>
          <w:sz w:val="32"/>
          <w:szCs w:val="32"/>
          <w:highlight w:val="none"/>
          <w:lang w:eastAsia="zh-CN"/>
        </w:rPr>
        <w:t>香坊区政府</w:t>
      </w:r>
      <w:r>
        <w:rPr>
          <w:rFonts w:hint="eastAsia"/>
          <w:sz w:val="32"/>
          <w:szCs w:val="32"/>
          <w:highlight w:val="none"/>
        </w:rPr>
        <w:t>事故调查组</w:t>
      </w:r>
    </w:p>
    <w:p w14:paraId="3FFDE1C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32"/>
          <w:szCs w:val="32"/>
        </w:rPr>
      </w:pPr>
      <w:r>
        <w:rPr>
          <w:rFonts w:hint="eastAsia"/>
          <w:sz w:val="32"/>
          <w:szCs w:val="32"/>
          <w:lang w:val="en-US" w:eastAsia="zh-CN"/>
        </w:rPr>
        <w:t xml:space="preserve">             </w:t>
      </w:r>
      <w:r>
        <w:rPr>
          <w:rFonts w:hint="eastAsia"/>
          <w:sz w:val="32"/>
          <w:szCs w:val="32"/>
        </w:rPr>
        <w:t>2022年12月2日</w:t>
      </w:r>
    </w:p>
    <w:p w14:paraId="306A1B82">
      <w:pPr>
        <w:pStyle w:val="2"/>
        <w:rPr>
          <w:rFonts w:hint="eastAsia"/>
          <w:sz w:val="32"/>
          <w:szCs w:val="32"/>
        </w:rPr>
      </w:pPr>
    </w:p>
    <w:p w14:paraId="1EB0C7D0">
      <w:pPr>
        <w:pStyle w:val="2"/>
        <w:rPr>
          <w:rFonts w:hint="eastAsia"/>
          <w:sz w:val="32"/>
          <w:szCs w:val="32"/>
        </w:rPr>
      </w:pPr>
    </w:p>
    <w:p w14:paraId="302D9416">
      <w:pPr>
        <w:pStyle w:val="2"/>
        <w:rPr>
          <w:rFonts w:hint="eastAsia"/>
          <w:sz w:val="32"/>
          <w:szCs w:val="32"/>
        </w:rPr>
      </w:pPr>
    </w:p>
    <w:p w14:paraId="05D5A19E">
      <w:pPr>
        <w:pStyle w:val="2"/>
        <w:rPr>
          <w:rFonts w:hint="eastAsia"/>
          <w:sz w:val="32"/>
          <w:szCs w:val="32"/>
        </w:rPr>
      </w:pPr>
    </w:p>
    <w:p w14:paraId="698763C9">
      <w:pPr>
        <w:pStyle w:val="2"/>
        <w:rPr>
          <w:rFonts w:hint="eastAsia"/>
          <w:sz w:val="32"/>
          <w:szCs w:val="32"/>
        </w:rPr>
      </w:pPr>
    </w:p>
    <w:p w14:paraId="5488CAEA">
      <w:pPr>
        <w:pStyle w:val="2"/>
        <w:rPr>
          <w:rFonts w:hint="eastAsia"/>
          <w:sz w:val="32"/>
          <w:szCs w:val="32"/>
        </w:rPr>
      </w:pPr>
    </w:p>
    <w:p w14:paraId="7D91C289">
      <w:pPr>
        <w:pStyle w:val="2"/>
        <w:rPr>
          <w:rFonts w:hint="eastAsia"/>
          <w:sz w:val="32"/>
          <w:szCs w:val="32"/>
        </w:rPr>
      </w:pPr>
    </w:p>
    <w:p w14:paraId="2643B9F5">
      <w:pPr>
        <w:pStyle w:val="2"/>
        <w:rPr>
          <w:rFonts w:hint="eastAsia"/>
          <w:sz w:val="32"/>
          <w:szCs w:val="32"/>
        </w:rPr>
      </w:pPr>
    </w:p>
    <w:p w14:paraId="53306876">
      <w:pPr>
        <w:pStyle w:val="2"/>
        <w:rPr>
          <w:rFonts w:hint="eastAsia"/>
          <w:sz w:val="32"/>
          <w:szCs w:val="32"/>
        </w:rPr>
      </w:pPr>
    </w:p>
    <w:p w14:paraId="79F48ECF">
      <w:pPr>
        <w:pStyle w:val="2"/>
        <w:rPr>
          <w:rFonts w:hint="eastAsia"/>
          <w:sz w:val="32"/>
          <w:szCs w:val="32"/>
        </w:rPr>
      </w:pPr>
    </w:p>
    <w:p w14:paraId="231542B3">
      <w:pPr>
        <w:pStyle w:val="2"/>
        <w:rPr>
          <w:rFonts w:hint="eastAsia"/>
          <w:sz w:val="32"/>
          <w:szCs w:val="32"/>
        </w:rPr>
      </w:pPr>
    </w:p>
    <w:p w14:paraId="0935F793">
      <w:pPr>
        <w:pStyle w:val="2"/>
        <w:rPr>
          <w:rFonts w:hint="eastAsia"/>
          <w:sz w:val="32"/>
          <w:szCs w:val="32"/>
        </w:rPr>
      </w:pPr>
    </w:p>
    <w:p w14:paraId="1827E8D0">
      <w:pPr>
        <w:pStyle w:val="2"/>
        <w:rPr>
          <w:rFonts w:hint="eastAsia"/>
          <w:sz w:val="32"/>
          <w:szCs w:val="32"/>
        </w:rPr>
      </w:pPr>
    </w:p>
    <w:p w14:paraId="3CF5B762">
      <w:pPr>
        <w:pStyle w:val="2"/>
        <w:rPr>
          <w:rFonts w:hint="eastAsia"/>
          <w:sz w:val="32"/>
          <w:szCs w:val="32"/>
        </w:rPr>
      </w:pPr>
    </w:p>
    <w:p w14:paraId="700A10C0">
      <w:pPr>
        <w:pStyle w:val="2"/>
        <w:rPr>
          <w:rFonts w:hint="eastAsia"/>
          <w:sz w:val="32"/>
          <w:szCs w:val="32"/>
        </w:rPr>
      </w:pPr>
    </w:p>
    <w:p w14:paraId="7E531637">
      <w:pPr>
        <w:pStyle w:val="2"/>
        <w:rPr>
          <w:rFonts w:hint="eastAsia"/>
          <w:sz w:val="32"/>
          <w:szCs w:val="32"/>
        </w:rPr>
      </w:pPr>
    </w:p>
    <w:p w14:paraId="324402FD">
      <w:pPr>
        <w:pStyle w:val="2"/>
        <w:rPr>
          <w:rFonts w:hint="eastAsia"/>
          <w:sz w:val="32"/>
          <w:szCs w:val="32"/>
        </w:rPr>
      </w:pPr>
    </w:p>
    <w:p w14:paraId="21EAC0C0">
      <w:pPr>
        <w:pStyle w:val="2"/>
        <w:rPr>
          <w:rFonts w:hint="eastAsia"/>
          <w:sz w:val="32"/>
          <w:szCs w:val="32"/>
        </w:rPr>
      </w:pPr>
    </w:p>
    <w:p w14:paraId="406E1B8A">
      <w:pPr>
        <w:pStyle w:val="2"/>
        <w:rPr>
          <w:rFonts w:hint="eastAsia"/>
          <w:sz w:val="32"/>
          <w:szCs w:val="32"/>
        </w:rPr>
      </w:pPr>
    </w:p>
    <w:p w14:paraId="574AF43F">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p w14:paraId="249E482C">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p w14:paraId="344560A5">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p w14:paraId="00DC2FE5">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p w14:paraId="01771744">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p w14:paraId="1F4AEBD5">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p w14:paraId="50C4A8FA">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ascii="宋体" w:hAnsi="宋体" w:eastAsia="宋体" w:cs="宋体"/>
          <w:color w:val="000000" w:themeColor="text1"/>
          <w:sz w:val="18"/>
          <w:szCs w:val="18"/>
          <w:highlight w:val="none"/>
          <w:lang w:val="en-US" w:eastAsia="zh-CN"/>
          <w14:textFill>
            <w14:solidFill>
              <w14:schemeClr w14:val="tx1"/>
            </w14:solidFill>
          </w14:textFill>
        </w:rPr>
      </w:pPr>
    </w:p>
    <w:p w14:paraId="2825B8D6">
      <w:pPr>
        <w:keepNext w:val="0"/>
        <w:keepLines w:val="0"/>
        <w:pageBreakBefore w:val="0"/>
        <w:widowControl w:val="0"/>
        <w:kinsoku/>
        <w:wordWrap/>
        <w:overflowPunct/>
        <w:topLinePunct w:val="0"/>
        <w:autoSpaceDE/>
        <w:autoSpaceDN/>
        <w:bidi w:val="0"/>
        <w:adjustRightInd/>
        <w:snapToGrid w:val="0"/>
        <w:spacing w:line="260" w:lineRule="exact"/>
        <w:textAlignment w:val="auto"/>
        <w:rPr>
          <w:rFonts w:hint="eastAsia"/>
          <w:sz w:val="32"/>
          <w:szCs w:val="32"/>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[14]</w:t>
      </w:r>
      <w:r>
        <w:rPr>
          <w:rFonts w:hint="eastAsia" w:asciiTheme="minorEastAsia" w:hAnsiTheme="minorEastAsia" w:eastAsiaTheme="minorEastAsia" w:cstheme="minorEastAsia"/>
          <w:sz w:val="18"/>
          <w:szCs w:val="18"/>
          <w:highlight w:val="none"/>
          <w:lang w:val="en-US" w:eastAsia="zh-CN"/>
        </w:rPr>
        <w:t xml:space="preserve"> </w:t>
      </w:r>
      <w:r>
        <w:rPr>
          <w:rFonts w:hint="eastAsia" w:asciiTheme="minorEastAsia" w:hAnsiTheme="minorEastAsia" w:eastAsiaTheme="minorEastAsia" w:cstheme="minorEastAsia"/>
          <w:sz w:val="18"/>
          <w:szCs w:val="18"/>
          <w:highlight w:val="none"/>
        </w:rPr>
        <w:t>《建设工程安全生产管理条例》第</w:t>
      </w:r>
      <w:r>
        <w:rPr>
          <w:rFonts w:hint="eastAsia" w:asciiTheme="minorEastAsia" w:hAnsiTheme="minorEastAsia" w:eastAsiaTheme="minorEastAsia" w:cstheme="minorEastAsia"/>
          <w:sz w:val="18"/>
          <w:szCs w:val="18"/>
          <w:highlight w:val="none"/>
          <w:lang w:eastAsia="zh-CN"/>
        </w:rPr>
        <w:t>十四</w:t>
      </w:r>
      <w:r>
        <w:rPr>
          <w:rFonts w:hint="eastAsia" w:asciiTheme="minorEastAsia" w:hAnsiTheme="minorEastAsia" w:eastAsiaTheme="minorEastAsia" w:cstheme="minorEastAsia"/>
          <w:sz w:val="18"/>
          <w:szCs w:val="18"/>
          <w:highlight w:val="none"/>
        </w:rPr>
        <w:t>条</w:t>
      </w:r>
      <w:r>
        <w:rPr>
          <w:rFonts w:hint="eastAsia" w:asciiTheme="minorEastAsia" w:hAnsiTheme="minorEastAsia" w:eastAsiaTheme="minorEastAsia" w:cstheme="minorEastAsia"/>
          <w:sz w:val="18"/>
          <w:szCs w:val="18"/>
          <w:highlight w:val="none"/>
          <w:lang w:val="en-US" w:eastAsia="zh-CN"/>
        </w:rPr>
        <w:t xml:space="preserve">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sectPr>
      <w:headerReference r:id="rId3" w:type="default"/>
      <w:footerReference r:id="rId4" w:type="default"/>
      <w:pgSz w:w="11906" w:h="16838"/>
      <w:pgMar w:top="2098" w:right="1474" w:bottom="1984" w:left="1587" w:header="851"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黑体简体">
    <w:altName w:val="微软雅黑"/>
    <w:panose1 w:val="02010601030101010101"/>
    <w:charset w:val="86"/>
    <w:family w:val="auto"/>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方正楷体简体">
    <w:altName w:val="宋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17724">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0ECEC">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310ECEC">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68102">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1C7E6B"/>
    <w:multiLevelType w:val="singleLevel"/>
    <w:tmpl w:val="D21C7E6B"/>
    <w:lvl w:ilvl="0" w:tentative="0">
      <w:start w:val="5"/>
      <w:numFmt w:val="decimal"/>
      <w:suff w:val="space"/>
      <w:lvlText w:val="%1."/>
      <w:lvlJc w:val="left"/>
      <w:rPr>
        <w:rFonts w:hint="default" w:ascii="Times New Roman" w:hAnsi="Times New Roman" w:cs="Times New Roman"/>
      </w:rPr>
    </w:lvl>
  </w:abstractNum>
  <w:abstractNum w:abstractNumId="1">
    <w:nsid w:val="0AD59E84"/>
    <w:multiLevelType w:val="singleLevel"/>
    <w:tmpl w:val="0AD59E84"/>
    <w:lvl w:ilvl="0" w:tentative="0">
      <w:start w:val="2"/>
      <w:numFmt w:val="decimal"/>
      <w:suff w:val="space"/>
      <w:lvlText w:val="%1."/>
      <w:lvlJc w:val="left"/>
      <w:rPr>
        <w:rFonts w:hint="default" w:ascii="Times New Roman" w:hAnsi="Times New Roman" w:cs="Times New Roman"/>
      </w:rPr>
    </w:lvl>
  </w:abstractNum>
  <w:abstractNum w:abstractNumId="2">
    <w:nsid w:val="15BD8486"/>
    <w:multiLevelType w:val="singleLevel"/>
    <w:tmpl w:val="15BD8486"/>
    <w:lvl w:ilvl="0" w:tentative="0">
      <w:start w:val="2"/>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yOGZjMTkzY2E4OTcxODQxMDU1NjY4NzQ3MzgzNmYifQ=="/>
  </w:docVars>
  <w:rsids>
    <w:rsidRoot w:val="7D015749"/>
    <w:rsid w:val="00066EBC"/>
    <w:rsid w:val="000F745C"/>
    <w:rsid w:val="002F012F"/>
    <w:rsid w:val="006E05BE"/>
    <w:rsid w:val="012C1337"/>
    <w:rsid w:val="013206CC"/>
    <w:rsid w:val="01DF71D1"/>
    <w:rsid w:val="01F61208"/>
    <w:rsid w:val="024C67EF"/>
    <w:rsid w:val="027677F3"/>
    <w:rsid w:val="033834D4"/>
    <w:rsid w:val="03A7507A"/>
    <w:rsid w:val="03C11BA8"/>
    <w:rsid w:val="03FD4132"/>
    <w:rsid w:val="042B5143"/>
    <w:rsid w:val="04AD0346"/>
    <w:rsid w:val="04BC223F"/>
    <w:rsid w:val="04C72531"/>
    <w:rsid w:val="04CD61FB"/>
    <w:rsid w:val="04DB7055"/>
    <w:rsid w:val="04FC088E"/>
    <w:rsid w:val="053F6FB9"/>
    <w:rsid w:val="0543421B"/>
    <w:rsid w:val="0544799F"/>
    <w:rsid w:val="05453FE3"/>
    <w:rsid w:val="05455393"/>
    <w:rsid w:val="05E4714F"/>
    <w:rsid w:val="05EE21A6"/>
    <w:rsid w:val="05F504EE"/>
    <w:rsid w:val="065155BF"/>
    <w:rsid w:val="06577474"/>
    <w:rsid w:val="06905732"/>
    <w:rsid w:val="06915006"/>
    <w:rsid w:val="06A64F55"/>
    <w:rsid w:val="06B31420"/>
    <w:rsid w:val="06B55EA7"/>
    <w:rsid w:val="071C3141"/>
    <w:rsid w:val="072B48B6"/>
    <w:rsid w:val="073A569E"/>
    <w:rsid w:val="07AB0349"/>
    <w:rsid w:val="07F910B5"/>
    <w:rsid w:val="080F387C"/>
    <w:rsid w:val="08872B64"/>
    <w:rsid w:val="08AF6032"/>
    <w:rsid w:val="08BA4CE8"/>
    <w:rsid w:val="08C863C2"/>
    <w:rsid w:val="09491BC8"/>
    <w:rsid w:val="09920627"/>
    <w:rsid w:val="09C6146A"/>
    <w:rsid w:val="09E55D95"/>
    <w:rsid w:val="0A072FAC"/>
    <w:rsid w:val="0A0F16B0"/>
    <w:rsid w:val="0A142885"/>
    <w:rsid w:val="0A3807C9"/>
    <w:rsid w:val="0A3C7B35"/>
    <w:rsid w:val="0A3E54A5"/>
    <w:rsid w:val="0A7039F0"/>
    <w:rsid w:val="0A723FC3"/>
    <w:rsid w:val="0A7F7F97"/>
    <w:rsid w:val="0ABF5171"/>
    <w:rsid w:val="0B4D3BF1"/>
    <w:rsid w:val="0B6B6477"/>
    <w:rsid w:val="0BD6172C"/>
    <w:rsid w:val="0C18150B"/>
    <w:rsid w:val="0C1D5A51"/>
    <w:rsid w:val="0C580AA0"/>
    <w:rsid w:val="0C932B21"/>
    <w:rsid w:val="0CAA2ACE"/>
    <w:rsid w:val="0CB73BE0"/>
    <w:rsid w:val="0D2E1801"/>
    <w:rsid w:val="0D3C216F"/>
    <w:rsid w:val="0D4E1EA3"/>
    <w:rsid w:val="0DF447F8"/>
    <w:rsid w:val="0E5E1C72"/>
    <w:rsid w:val="0E8406DA"/>
    <w:rsid w:val="0EFA1AE3"/>
    <w:rsid w:val="0F262E62"/>
    <w:rsid w:val="0F337E5E"/>
    <w:rsid w:val="0F890F70"/>
    <w:rsid w:val="0F910A36"/>
    <w:rsid w:val="0F9301BE"/>
    <w:rsid w:val="0FE268D2"/>
    <w:rsid w:val="0FF52AA9"/>
    <w:rsid w:val="0FF76606"/>
    <w:rsid w:val="100B5E29"/>
    <w:rsid w:val="10521CAA"/>
    <w:rsid w:val="10541856"/>
    <w:rsid w:val="10637DFE"/>
    <w:rsid w:val="108D4A90"/>
    <w:rsid w:val="10C36704"/>
    <w:rsid w:val="10CC55B8"/>
    <w:rsid w:val="113B37D8"/>
    <w:rsid w:val="115B06EA"/>
    <w:rsid w:val="11624B8C"/>
    <w:rsid w:val="117D4B05"/>
    <w:rsid w:val="11910454"/>
    <w:rsid w:val="11990174"/>
    <w:rsid w:val="11FB70C7"/>
    <w:rsid w:val="12283AEC"/>
    <w:rsid w:val="123327ED"/>
    <w:rsid w:val="12B4136E"/>
    <w:rsid w:val="12C50B42"/>
    <w:rsid w:val="130C25E4"/>
    <w:rsid w:val="131A7251"/>
    <w:rsid w:val="13830CE4"/>
    <w:rsid w:val="139F5206"/>
    <w:rsid w:val="13AF4D1D"/>
    <w:rsid w:val="13B67163"/>
    <w:rsid w:val="13C7475D"/>
    <w:rsid w:val="13FF7A53"/>
    <w:rsid w:val="14221993"/>
    <w:rsid w:val="148D505F"/>
    <w:rsid w:val="14C87B1E"/>
    <w:rsid w:val="1535481E"/>
    <w:rsid w:val="15593193"/>
    <w:rsid w:val="158D2D69"/>
    <w:rsid w:val="15C26F8A"/>
    <w:rsid w:val="16180800"/>
    <w:rsid w:val="163C7A9A"/>
    <w:rsid w:val="167F2C0C"/>
    <w:rsid w:val="16EB42BE"/>
    <w:rsid w:val="17354912"/>
    <w:rsid w:val="175E2CE2"/>
    <w:rsid w:val="178725A8"/>
    <w:rsid w:val="17921886"/>
    <w:rsid w:val="17977985"/>
    <w:rsid w:val="17AC7EF2"/>
    <w:rsid w:val="17BA7447"/>
    <w:rsid w:val="17D71029"/>
    <w:rsid w:val="17DB4333"/>
    <w:rsid w:val="17FC7011"/>
    <w:rsid w:val="180715CC"/>
    <w:rsid w:val="182E4DAB"/>
    <w:rsid w:val="1844637C"/>
    <w:rsid w:val="187A7FF0"/>
    <w:rsid w:val="18E65685"/>
    <w:rsid w:val="19037FE5"/>
    <w:rsid w:val="1914553B"/>
    <w:rsid w:val="194B7296"/>
    <w:rsid w:val="19615475"/>
    <w:rsid w:val="19636CD6"/>
    <w:rsid w:val="196E0AE7"/>
    <w:rsid w:val="19B65058"/>
    <w:rsid w:val="1A267164"/>
    <w:rsid w:val="1A726E9A"/>
    <w:rsid w:val="1AB819A2"/>
    <w:rsid w:val="1AF37BE5"/>
    <w:rsid w:val="1B185113"/>
    <w:rsid w:val="1B312FF4"/>
    <w:rsid w:val="1B3B3D57"/>
    <w:rsid w:val="1B687433"/>
    <w:rsid w:val="1B91134D"/>
    <w:rsid w:val="1BA07D6D"/>
    <w:rsid w:val="1BE61C24"/>
    <w:rsid w:val="1C0F2CE1"/>
    <w:rsid w:val="1C641230"/>
    <w:rsid w:val="1C694603"/>
    <w:rsid w:val="1C722EB5"/>
    <w:rsid w:val="1C7F7679"/>
    <w:rsid w:val="1CD31A7D"/>
    <w:rsid w:val="1CEB6DC6"/>
    <w:rsid w:val="1CFD2F9D"/>
    <w:rsid w:val="1D490D04"/>
    <w:rsid w:val="1D4A104F"/>
    <w:rsid w:val="1DB63459"/>
    <w:rsid w:val="1DD427DD"/>
    <w:rsid w:val="1DDD1906"/>
    <w:rsid w:val="1E285DF8"/>
    <w:rsid w:val="1E4946EC"/>
    <w:rsid w:val="1EA54143"/>
    <w:rsid w:val="1EAE625C"/>
    <w:rsid w:val="1EB678A8"/>
    <w:rsid w:val="1EC60DF8"/>
    <w:rsid w:val="1EE6018D"/>
    <w:rsid w:val="1F4C3A56"/>
    <w:rsid w:val="1F542870"/>
    <w:rsid w:val="1F635F6E"/>
    <w:rsid w:val="1F743D6A"/>
    <w:rsid w:val="1FBF453A"/>
    <w:rsid w:val="1FC3402A"/>
    <w:rsid w:val="1FEA194A"/>
    <w:rsid w:val="20161657"/>
    <w:rsid w:val="201E5705"/>
    <w:rsid w:val="20546C12"/>
    <w:rsid w:val="206C021E"/>
    <w:rsid w:val="20967991"/>
    <w:rsid w:val="20C77B4A"/>
    <w:rsid w:val="20CB04E7"/>
    <w:rsid w:val="20D62D07"/>
    <w:rsid w:val="20DB7708"/>
    <w:rsid w:val="20EE50D7"/>
    <w:rsid w:val="215E22A9"/>
    <w:rsid w:val="216D6944"/>
    <w:rsid w:val="21C04BDE"/>
    <w:rsid w:val="21D45D0D"/>
    <w:rsid w:val="21DF057F"/>
    <w:rsid w:val="21F229A5"/>
    <w:rsid w:val="221D14F5"/>
    <w:rsid w:val="223B07F0"/>
    <w:rsid w:val="22625D7D"/>
    <w:rsid w:val="22D84291"/>
    <w:rsid w:val="22FE3E5A"/>
    <w:rsid w:val="231B41AB"/>
    <w:rsid w:val="23290648"/>
    <w:rsid w:val="235F050E"/>
    <w:rsid w:val="23855415"/>
    <w:rsid w:val="238C2377"/>
    <w:rsid w:val="23A44173"/>
    <w:rsid w:val="23B87C1E"/>
    <w:rsid w:val="242F6132"/>
    <w:rsid w:val="2432480C"/>
    <w:rsid w:val="245E4322"/>
    <w:rsid w:val="24A878FA"/>
    <w:rsid w:val="24AC0A88"/>
    <w:rsid w:val="24D942F0"/>
    <w:rsid w:val="24DD22AC"/>
    <w:rsid w:val="24FD3B3B"/>
    <w:rsid w:val="254F010E"/>
    <w:rsid w:val="25986825"/>
    <w:rsid w:val="25A220E3"/>
    <w:rsid w:val="26243349"/>
    <w:rsid w:val="263025B3"/>
    <w:rsid w:val="26A24C02"/>
    <w:rsid w:val="26E825C8"/>
    <w:rsid w:val="272A51D4"/>
    <w:rsid w:val="27421CD9"/>
    <w:rsid w:val="2774228C"/>
    <w:rsid w:val="277F2F2D"/>
    <w:rsid w:val="27930786"/>
    <w:rsid w:val="27CC248E"/>
    <w:rsid w:val="27D43C48"/>
    <w:rsid w:val="27ED47C6"/>
    <w:rsid w:val="27FE2D42"/>
    <w:rsid w:val="281C4C20"/>
    <w:rsid w:val="282B6C11"/>
    <w:rsid w:val="282F4953"/>
    <w:rsid w:val="283F3B26"/>
    <w:rsid w:val="289724F8"/>
    <w:rsid w:val="28BB61E6"/>
    <w:rsid w:val="29064F88"/>
    <w:rsid w:val="2976035F"/>
    <w:rsid w:val="29B449E4"/>
    <w:rsid w:val="29C25353"/>
    <w:rsid w:val="29D21FD6"/>
    <w:rsid w:val="29E17ECF"/>
    <w:rsid w:val="29EA6657"/>
    <w:rsid w:val="2A3F0751"/>
    <w:rsid w:val="2A5A37DD"/>
    <w:rsid w:val="2A6401B8"/>
    <w:rsid w:val="2B8925CC"/>
    <w:rsid w:val="2BAE4BB8"/>
    <w:rsid w:val="2BC25ADE"/>
    <w:rsid w:val="2BE02FAC"/>
    <w:rsid w:val="2C9F4FEB"/>
    <w:rsid w:val="2CBA0563"/>
    <w:rsid w:val="2CBC7C58"/>
    <w:rsid w:val="2CDA29B3"/>
    <w:rsid w:val="2CDF621C"/>
    <w:rsid w:val="2CF56090"/>
    <w:rsid w:val="2D9818DA"/>
    <w:rsid w:val="2DED7CE0"/>
    <w:rsid w:val="2DFA0800"/>
    <w:rsid w:val="2E2E435C"/>
    <w:rsid w:val="2E3D31FA"/>
    <w:rsid w:val="2EA50EA1"/>
    <w:rsid w:val="2EBA15B9"/>
    <w:rsid w:val="2EE23DA1"/>
    <w:rsid w:val="2F2A3765"/>
    <w:rsid w:val="2F4B1946"/>
    <w:rsid w:val="2F57653D"/>
    <w:rsid w:val="2F642A08"/>
    <w:rsid w:val="2F6A001E"/>
    <w:rsid w:val="300264A9"/>
    <w:rsid w:val="303B5E5F"/>
    <w:rsid w:val="308B2942"/>
    <w:rsid w:val="30F0044A"/>
    <w:rsid w:val="30F276FC"/>
    <w:rsid w:val="310B75DF"/>
    <w:rsid w:val="31300B1D"/>
    <w:rsid w:val="31DE2F46"/>
    <w:rsid w:val="320003DB"/>
    <w:rsid w:val="32244FF3"/>
    <w:rsid w:val="32492345"/>
    <w:rsid w:val="32536A28"/>
    <w:rsid w:val="32570EF9"/>
    <w:rsid w:val="327A0EC0"/>
    <w:rsid w:val="329D4BAF"/>
    <w:rsid w:val="32C63C90"/>
    <w:rsid w:val="32E04BAD"/>
    <w:rsid w:val="32F43CBC"/>
    <w:rsid w:val="33524AF4"/>
    <w:rsid w:val="338748EA"/>
    <w:rsid w:val="33B56304"/>
    <w:rsid w:val="34027F39"/>
    <w:rsid w:val="344E2232"/>
    <w:rsid w:val="345F6F7C"/>
    <w:rsid w:val="34E71FB5"/>
    <w:rsid w:val="352670DE"/>
    <w:rsid w:val="355A28E3"/>
    <w:rsid w:val="357C3A93"/>
    <w:rsid w:val="35964985"/>
    <w:rsid w:val="35DC154A"/>
    <w:rsid w:val="35FA7C22"/>
    <w:rsid w:val="36400C61"/>
    <w:rsid w:val="3663010C"/>
    <w:rsid w:val="366C2CAA"/>
    <w:rsid w:val="36843E2C"/>
    <w:rsid w:val="36A209E6"/>
    <w:rsid w:val="36CC15BF"/>
    <w:rsid w:val="36E051C8"/>
    <w:rsid w:val="375810A4"/>
    <w:rsid w:val="376B52FE"/>
    <w:rsid w:val="377A36CE"/>
    <w:rsid w:val="37995B97"/>
    <w:rsid w:val="37D70D4B"/>
    <w:rsid w:val="38834A96"/>
    <w:rsid w:val="392944BF"/>
    <w:rsid w:val="392E6561"/>
    <w:rsid w:val="395B30CE"/>
    <w:rsid w:val="397109A1"/>
    <w:rsid w:val="397523E2"/>
    <w:rsid w:val="39A22AAB"/>
    <w:rsid w:val="39AD3929"/>
    <w:rsid w:val="39E15381"/>
    <w:rsid w:val="3A9D6558"/>
    <w:rsid w:val="3B0E1700"/>
    <w:rsid w:val="3B181276"/>
    <w:rsid w:val="3B2C2944"/>
    <w:rsid w:val="3B687DD3"/>
    <w:rsid w:val="3B7E0F61"/>
    <w:rsid w:val="3B85601C"/>
    <w:rsid w:val="3C291D07"/>
    <w:rsid w:val="3C3D61FA"/>
    <w:rsid w:val="3C5B79BC"/>
    <w:rsid w:val="3C5C6F5B"/>
    <w:rsid w:val="3C5F4C83"/>
    <w:rsid w:val="3C65366B"/>
    <w:rsid w:val="3CC73FAF"/>
    <w:rsid w:val="3CDA58EE"/>
    <w:rsid w:val="3D296016"/>
    <w:rsid w:val="3D2A34E3"/>
    <w:rsid w:val="3D474095"/>
    <w:rsid w:val="3D540560"/>
    <w:rsid w:val="3D65609E"/>
    <w:rsid w:val="3D6A00C7"/>
    <w:rsid w:val="3D9A1DF3"/>
    <w:rsid w:val="3DEF7AD7"/>
    <w:rsid w:val="3DF2751A"/>
    <w:rsid w:val="3E377C66"/>
    <w:rsid w:val="3E4F1453"/>
    <w:rsid w:val="3E54456C"/>
    <w:rsid w:val="3E587BDC"/>
    <w:rsid w:val="3E5F0359"/>
    <w:rsid w:val="3E6B3DB3"/>
    <w:rsid w:val="3ED11CE6"/>
    <w:rsid w:val="3F402B4A"/>
    <w:rsid w:val="3F8756CA"/>
    <w:rsid w:val="3FD2093A"/>
    <w:rsid w:val="3FDA2F9E"/>
    <w:rsid w:val="400B3158"/>
    <w:rsid w:val="40386F69"/>
    <w:rsid w:val="40884E18"/>
    <w:rsid w:val="40A92EFF"/>
    <w:rsid w:val="40BC4452"/>
    <w:rsid w:val="40C477AB"/>
    <w:rsid w:val="413C5593"/>
    <w:rsid w:val="415154E2"/>
    <w:rsid w:val="418D7289"/>
    <w:rsid w:val="41E76960"/>
    <w:rsid w:val="41FE4C85"/>
    <w:rsid w:val="421554F2"/>
    <w:rsid w:val="42222E88"/>
    <w:rsid w:val="424D3EFC"/>
    <w:rsid w:val="42666D6B"/>
    <w:rsid w:val="4272297E"/>
    <w:rsid w:val="429D4FC3"/>
    <w:rsid w:val="42C02EB8"/>
    <w:rsid w:val="42CE66BF"/>
    <w:rsid w:val="42D448B0"/>
    <w:rsid w:val="42ED582D"/>
    <w:rsid w:val="42F969FA"/>
    <w:rsid w:val="430B346F"/>
    <w:rsid w:val="431C567C"/>
    <w:rsid w:val="433065E2"/>
    <w:rsid w:val="435572B9"/>
    <w:rsid w:val="43605E98"/>
    <w:rsid w:val="43713C1A"/>
    <w:rsid w:val="437B23A2"/>
    <w:rsid w:val="43E12304"/>
    <w:rsid w:val="43EF0FE2"/>
    <w:rsid w:val="442C182A"/>
    <w:rsid w:val="4436276D"/>
    <w:rsid w:val="445B167F"/>
    <w:rsid w:val="44CD5C33"/>
    <w:rsid w:val="44D073E4"/>
    <w:rsid w:val="44D278E8"/>
    <w:rsid w:val="44D81A76"/>
    <w:rsid w:val="45592D7D"/>
    <w:rsid w:val="45635342"/>
    <w:rsid w:val="45836BAC"/>
    <w:rsid w:val="45857508"/>
    <w:rsid w:val="459A606C"/>
    <w:rsid w:val="45DF1C03"/>
    <w:rsid w:val="462A00B0"/>
    <w:rsid w:val="46445AA3"/>
    <w:rsid w:val="464949DA"/>
    <w:rsid w:val="464A0752"/>
    <w:rsid w:val="4670640B"/>
    <w:rsid w:val="468C0D6B"/>
    <w:rsid w:val="469F45FA"/>
    <w:rsid w:val="46A95479"/>
    <w:rsid w:val="46B51471"/>
    <w:rsid w:val="46E464B1"/>
    <w:rsid w:val="46FB37BC"/>
    <w:rsid w:val="4741335D"/>
    <w:rsid w:val="477737C9"/>
    <w:rsid w:val="47C167F2"/>
    <w:rsid w:val="47C6205A"/>
    <w:rsid w:val="480037BE"/>
    <w:rsid w:val="480C2163"/>
    <w:rsid w:val="48222517"/>
    <w:rsid w:val="483B3816"/>
    <w:rsid w:val="484216E1"/>
    <w:rsid w:val="485A4C3C"/>
    <w:rsid w:val="488169A9"/>
    <w:rsid w:val="488717E9"/>
    <w:rsid w:val="489A151D"/>
    <w:rsid w:val="48DB38E3"/>
    <w:rsid w:val="48DF1625"/>
    <w:rsid w:val="49465201"/>
    <w:rsid w:val="49755AE6"/>
    <w:rsid w:val="49C6610C"/>
    <w:rsid w:val="49DA4E0E"/>
    <w:rsid w:val="49E73F04"/>
    <w:rsid w:val="49EA2030"/>
    <w:rsid w:val="4A201189"/>
    <w:rsid w:val="4A4C3761"/>
    <w:rsid w:val="4A5B1180"/>
    <w:rsid w:val="4A8F7F6C"/>
    <w:rsid w:val="4A985F30"/>
    <w:rsid w:val="4AA35F7A"/>
    <w:rsid w:val="4AB8212E"/>
    <w:rsid w:val="4B087C2A"/>
    <w:rsid w:val="4B0B6702"/>
    <w:rsid w:val="4B313B0D"/>
    <w:rsid w:val="4B474412"/>
    <w:rsid w:val="4B4B34EE"/>
    <w:rsid w:val="4BA95E00"/>
    <w:rsid w:val="4BF067E6"/>
    <w:rsid w:val="4C1B0BC7"/>
    <w:rsid w:val="4C2757BD"/>
    <w:rsid w:val="4C4B42B4"/>
    <w:rsid w:val="4C8C0A39"/>
    <w:rsid w:val="4C940379"/>
    <w:rsid w:val="4CB91BB2"/>
    <w:rsid w:val="4CE56753"/>
    <w:rsid w:val="4D12452A"/>
    <w:rsid w:val="4D19729C"/>
    <w:rsid w:val="4D566987"/>
    <w:rsid w:val="4D607621"/>
    <w:rsid w:val="4D6E63E7"/>
    <w:rsid w:val="4D9549A9"/>
    <w:rsid w:val="4E327823"/>
    <w:rsid w:val="4E351776"/>
    <w:rsid w:val="4E5F6ED0"/>
    <w:rsid w:val="4E922C96"/>
    <w:rsid w:val="4E9A049C"/>
    <w:rsid w:val="4E9D56D9"/>
    <w:rsid w:val="4EB943FF"/>
    <w:rsid w:val="4EDB52D4"/>
    <w:rsid w:val="4EE47996"/>
    <w:rsid w:val="4EF75830"/>
    <w:rsid w:val="4F25271B"/>
    <w:rsid w:val="4F5D32A4"/>
    <w:rsid w:val="4F860A4D"/>
    <w:rsid w:val="4F9A44F8"/>
    <w:rsid w:val="4FA365AE"/>
    <w:rsid w:val="4FE17F9A"/>
    <w:rsid w:val="50203765"/>
    <w:rsid w:val="50506965"/>
    <w:rsid w:val="50861AB8"/>
    <w:rsid w:val="50A05B3E"/>
    <w:rsid w:val="50A7376B"/>
    <w:rsid w:val="50BB4EA3"/>
    <w:rsid w:val="5124758E"/>
    <w:rsid w:val="513A6339"/>
    <w:rsid w:val="51557F81"/>
    <w:rsid w:val="5183249D"/>
    <w:rsid w:val="51BC0756"/>
    <w:rsid w:val="51FA302C"/>
    <w:rsid w:val="52675C36"/>
    <w:rsid w:val="527C6137"/>
    <w:rsid w:val="52EE7F5C"/>
    <w:rsid w:val="537A2677"/>
    <w:rsid w:val="537B1F4B"/>
    <w:rsid w:val="5386770A"/>
    <w:rsid w:val="53C438F2"/>
    <w:rsid w:val="53C63329"/>
    <w:rsid w:val="53C872B9"/>
    <w:rsid w:val="53D27346"/>
    <w:rsid w:val="541418AD"/>
    <w:rsid w:val="54223609"/>
    <w:rsid w:val="54232D0E"/>
    <w:rsid w:val="54520EFE"/>
    <w:rsid w:val="5474356A"/>
    <w:rsid w:val="548C4DC5"/>
    <w:rsid w:val="54977258"/>
    <w:rsid w:val="54AD082A"/>
    <w:rsid w:val="55071F6F"/>
    <w:rsid w:val="551F126F"/>
    <w:rsid w:val="554C1DF1"/>
    <w:rsid w:val="556F3D31"/>
    <w:rsid w:val="5596306C"/>
    <w:rsid w:val="55F10BEA"/>
    <w:rsid w:val="56260894"/>
    <w:rsid w:val="5632548A"/>
    <w:rsid w:val="564F734B"/>
    <w:rsid w:val="56A874FB"/>
    <w:rsid w:val="56B0015D"/>
    <w:rsid w:val="56BA4E76"/>
    <w:rsid w:val="56ED5679"/>
    <w:rsid w:val="56F52014"/>
    <w:rsid w:val="570B1838"/>
    <w:rsid w:val="578266DD"/>
    <w:rsid w:val="57C71C02"/>
    <w:rsid w:val="57CA34A1"/>
    <w:rsid w:val="58845D45"/>
    <w:rsid w:val="58D71365"/>
    <w:rsid w:val="58F85DEC"/>
    <w:rsid w:val="591E64C2"/>
    <w:rsid w:val="59723DF0"/>
    <w:rsid w:val="598639CA"/>
    <w:rsid w:val="59981AA8"/>
    <w:rsid w:val="59C31225"/>
    <w:rsid w:val="5A001D7C"/>
    <w:rsid w:val="5A5D23AA"/>
    <w:rsid w:val="5A6E0A5B"/>
    <w:rsid w:val="5AA143CA"/>
    <w:rsid w:val="5ADA1C4D"/>
    <w:rsid w:val="5AE2614B"/>
    <w:rsid w:val="5B0F614B"/>
    <w:rsid w:val="5BB46942"/>
    <w:rsid w:val="5C480E38"/>
    <w:rsid w:val="5C8B6750"/>
    <w:rsid w:val="5CC93747"/>
    <w:rsid w:val="5CCC41E2"/>
    <w:rsid w:val="5D2418A5"/>
    <w:rsid w:val="5D443CF5"/>
    <w:rsid w:val="5D4B5084"/>
    <w:rsid w:val="5E1046D3"/>
    <w:rsid w:val="5E4473E0"/>
    <w:rsid w:val="5E4C5DB4"/>
    <w:rsid w:val="5E512226"/>
    <w:rsid w:val="5F060EBB"/>
    <w:rsid w:val="5F2B0148"/>
    <w:rsid w:val="5F473529"/>
    <w:rsid w:val="5F5F0972"/>
    <w:rsid w:val="5F88611B"/>
    <w:rsid w:val="5FB449CD"/>
    <w:rsid w:val="5FB962D5"/>
    <w:rsid w:val="6025396A"/>
    <w:rsid w:val="606B7E4D"/>
    <w:rsid w:val="60BB607C"/>
    <w:rsid w:val="60BE791B"/>
    <w:rsid w:val="60C6278F"/>
    <w:rsid w:val="60F54CE9"/>
    <w:rsid w:val="60FE43B8"/>
    <w:rsid w:val="61130118"/>
    <w:rsid w:val="6155027F"/>
    <w:rsid w:val="615A7643"/>
    <w:rsid w:val="61613D62"/>
    <w:rsid w:val="61812E22"/>
    <w:rsid w:val="61946FF9"/>
    <w:rsid w:val="61BB6C21"/>
    <w:rsid w:val="61BD0EFD"/>
    <w:rsid w:val="61D95C8A"/>
    <w:rsid w:val="620A72BB"/>
    <w:rsid w:val="62872FD2"/>
    <w:rsid w:val="62873071"/>
    <w:rsid w:val="628A1441"/>
    <w:rsid w:val="62917095"/>
    <w:rsid w:val="630006BE"/>
    <w:rsid w:val="63223165"/>
    <w:rsid w:val="638F4223"/>
    <w:rsid w:val="63B44743"/>
    <w:rsid w:val="63EF49BB"/>
    <w:rsid w:val="641C5084"/>
    <w:rsid w:val="64344556"/>
    <w:rsid w:val="64FE321B"/>
    <w:rsid w:val="65044496"/>
    <w:rsid w:val="65AB2B63"/>
    <w:rsid w:val="65B37941"/>
    <w:rsid w:val="65D06EBE"/>
    <w:rsid w:val="6623310C"/>
    <w:rsid w:val="662D4E23"/>
    <w:rsid w:val="66344907"/>
    <w:rsid w:val="66377F53"/>
    <w:rsid w:val="663F641D"/>
    <w:rsid w:val="66E55C01"/>
    <w:rsid w:val="672D1356"/>
    <w:rsid w:val="67615745"/>
    <w:rsid w:val="679413D5"/>
    <w:rsid w:val="67A41618"/>
    <w:rsid w:val="681C56E8"/>
    <w:rsid w:val="686178A3"/>
    <w:rsid w:val="690802CD"/>
    <w:rsid w:val="69587C98"/>
    <w:rsid w:val="695E1C9B"/>
    <w:rsid w:val="696C085C"/>
    <w:rsid w:val="696E3BB1"/>
    <w:rsid w:val="699D27C3"/>
    <w:rsid w:val="69C04970"/>
    <w:rsid w:val="6A0C16F7"/>
    <w:rsid w:val="6A366774"/>
    <w:rsid w:val="6A427A88"/>
    <w:rsid w:val="6A554E4C"/>
    <w:rsid w:val="6A5C267E"/>
    <w:rsid w:val="6A885B1E"/>
    <w:rsid w:val="6A984024"/>
    <w:rsid w:val="6ABA028C"/>
    <w:rsid w:val="6B2D401B"/>
    <w:rsid w:val="6BAD2BD7"/>
    <w:rsid w:val="6BFB10BA"/>
    <w:rsid w:val="6C0C59DE"/>
    <w:rsid w:val="6C3F1707"/>
    <w:rsid w:val="6C700348"/>
    <w:rsid w:val="6C705F6D"/>
    <w:rsid w:val="6C7936A6"/>
    <w:rsid w:val="6C86425A"/>
    <w:rsid w:val="6CC938CF"/>
    <w:rsid w:val="6CDD5701"/>
    <w:rsid w:val="6D0F2A55"/>
    <w:rsid w:val="6D1159A2"/>
    <w:rsid w:val="6D153134"/>
    <w:rsid w:val="6D45389E"/>
    <w:rsid w:val="6D9B170F"/>
    <w:rsid w:val="6D9E2FAE"/>
    <w:rsid w:val="6DF20F20"/>
    <w:rsid w:val="6DF36E56"/>
    <w:rsid w:val="6E1A6AD8"/>
    <w:rsid w:val="6E340CB8"/>
    <w:rsid w:val="6E5122D2"/>
    <w:rsid w:val="6E6C09B6"/>
    <w:rsid w:val="6E731D44"/>
    <w:rsid w:val="6EAA39A2"/>
    <w:rsid w:val="6EAE7221"/>
    <w:rsid w:val="6ECB657E"/>
    <w:rsid w:val="6ED26D8F"/>
    <w:rsid w:val="6EE37AB3"/>
    <w:rsid w:val="6EE964AB"/>
    <w:rsid w:val="6F03131A"/>
    <w:rsid w:val="6F431560"/>
    <w:rsid w:val="6FBF21B1"/>
    <w:rsid w:val="6FC445FC"/>
    <w:rsid w:val="6FC7059A"/>
    <w:rsid w:val="70147557"/>
    <w:rsid w:val="702E0619"/>
    <w:rsid w:val="70634644"/>
    <w:rsid w:val="706C7393"/>
    <w:rsid w:val="70F52EE5"/>
    <w:rsid w:val="714E0847"/>
    <w:rsid w:val="7168470E"/>
    <w:rsid w:val="717C7162"/>
    <w:rsid w:val="71863060"/>
    <w:rsid w:val="71AB4BC9"/>
    <w:rsid w:val="721101F2"/>
    <w:rsid w:val="725F2166"/>
    <w:rsid w:val="728A3B01"/>
    <w:rsid w:val="728A47F0"/>
    <w:rsid w:val="73060BDA"/>
    <w:rsid w:val="732C6966"/>
    <w:rsid w:val="73377D09"/>
    <w:rsid w:val="73C179F6"/>
    <w:rsid w:val="73D70FC8"/>
    <w:rsid w:val="74262DB1"/>
    <w:rsid w:val="744531DF"/>
    <w:rsid w:val="74853F0B"/>
    <w:rsid w:val="74A64283"/>
    <w:rsid w:val="750202C6"/>
    <w:rsid w:val="751F2C26"/>
    <w:rsid w:val="75444CE6"/>
    <w:rsid w:val="75AD42CE"/>
    <w:rsid w:val="75CF1DAB"/>
    <w:rsid w:val="75FB5580"/>
    <w:rsid w:val="764670F2"/>
    <w:rsid w:val="76564426"/>
    <w:rsid w:val="769C07B3"/>
    <w:rsid w:val="76F23784"/>
    <w:rsid w:val="76F82B81"/>
    <w:rsid w:val="77562203"/>
    <w:rsid w:val="777C4360"/>
    <w:rsid w:val="778D031B"/>
    <w:rsid w:val="778E5E41"/>
    <w:rsid w:val="77907953"/>
    <w:rsid w:val="77B70EF4"/>
    <w:rsid w:val="78061E7B"/>
    <w:rsid w:val="783F2EFA"/>
    <w:rsid w:val="78654DF4"/>
    <w:rsid w:val="787978AF"/>
    <w:rsid w:val="78866B18"/>
    <w:rsid w:val="78945DB1"/>
    <w:rsid w:val="789F15CA"/>
    <w:rsid w:val="78C53AE4"/>
    <w:rsid w:val="78EC633A"/>
    <w:rsid w:val="792151BF"/>
    <w:rsid w:val="79A32E9B"/>
    <w:rsid w:val="79B53B29"/>
    <w:rsid w:val="79ED6E4F"/>
    <w:rsid w:val="7A1D3808"/>
    <w:rsid w:val="7A747570"/>
    <w:rsid w:val="7AAC0272"/>
    <w:rsid w:val="7AE5221C"/>
    <w:rsid w:val="7B1C7CE1"/>
    <w:rsid w:val="7B501226"/>
    <w:rsid w:val="7B5F0CA0"/>
    <w:rsid w:val="7B723B4E"/>
    <w:rsid w:val="7BA2010D"/>
    <w:rsid w:val="7BAB5418"/>
    <w:rsid w:val="7BE411B1"/>
    <w:rsid w:val="7C380C3D"/>
    <w:rsid w:val="7CF404F4"/>
    <w:rsid w:val="7D2444A6"/>
    <w:rsid w:val="7D55069E"/>
    <w:rsid w:val="7D5C044C"/>
    <w:rsid w:val="7D7B6E68"/>
    <w:rsid w:val="7D8053CE"/>
    <w:rsid w:val="7D943A85"/>
    <w:rsid w:val="7DB06383"/>
    <w:rsid w:val="7DD24CD9"/>
    <w:rsid w:val="7DDF2F52"/>
    <w:rsid w:val="7E025D07"/>
    <w:rsid w:val="7E096221"/>
    <w:rsid w:val="7EAB1224"/>
    <w:rsid w:val="7EB20667"/>
    <w:rsid w:val="7EEA1BAF"/>
    <w:rsid w:val="7F21600F"/>
    <w:rsid w:val="7F343772"/>
    <w:rsid w:val="7F4736ED"/>
    <w:rsid w:val="7F587460"/>
    <w:rsid w:val="7F5F53F9"/>
    <w:rsid w:val="7FA31D45"/>
    <w:rsid w:val="7FC55FE2"/>
    <w:rsid w:val="7FCC5758"/>
    <w:rsid w:val="7FD76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简体"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样式 标题 1 + 首行缩进:  2 字符"/>
    <w:basedOn w:val="3"/>
    <w:qFormat/>
    <w:uiPriority w:val="99"/>
    <w:pPr>
      <w:spacing w:line="240" w:lineRule="auto"/>
      <w:ind w:firstLine="200" w:firstLineChars="200"/>
    </w:pPr>
    <w:rPr>
      <w:rFonts w:eastAsia="黑体" w:cs="宋体"/>
      <w:b w:val="0"/>
      <w:sz w:val="30"/>
      <w:szCs w:val="20"/>
    </w:rPr>
  </w:style>
  <w:style w:type="paragraph" w:customStyle="1" w:styleId="3">
    <w:name w:val="标题 11"/>
    <w:basedOn w:val="4"/>
    <w:next w:val="4"/>
    <w:qFormat/>
    <w:uiPriority w:val="99"/>
    <w:pPr>
      <w:keepNext/>
      <w:keepLines/>
      <w:spacing w:line="360" w:lineRule="auto"/>
      <w:jc w:val="center"/>
      <w:outlineLvl w:val="0"/>
    </w:pPr>
    <w:rPr>
      <w:rFonts w:ascii="Times New Roman" w:hAnsi="Times New Roman"/>
      <w:b/>
      <w:bCs/>
      <w:kern w:val="2"/>
      <w:sz w:val="32"/>
      <w:szCs w:val="32"/>
    </w:rPr>
  </w:style>
  <w:style w:type="paragraph" w:customStyle="1" w:styleId="4">
    <w:name w:val="正文1"/>
    <w:next w:val="2"/>
    <w:qFormat/>
    <w:uiPriority w:val="0"/>
    <w:pPr>
      <w:widowControl w:val="0"/>
      <w:suppressAutoHyphens w:val="0"/>
      <w:bidi w:val="0"/>
      <w:spacing w:beforeLines="0" w:beforeAutospacing="0" w:afterLines="0" w:afterAutospacing="0"/>
      <w:jc w:val="both"/>
    </w:pPr>
    <w:rPr>
      <w:rFonts w:ascii="Calibri" w:hAnsi="Calibri" w:eastAsia="宋体" w:cs="Times New Roman"/>
      <w:color w:val="auto"/>
      <w:kern w:val="2"/>
      <w:sz w:val="21"/>
      <w:szCs w:val="22"/>
      <w:lang w:val="en-US" w:eastAsia="zh-CN" w:bidi="ar-SA"/>
    </w:rPr>
  </w:style>
  <w:style w:type="paragraph" w:styleId="5">
    <w:name w:val="Body Text"/>
    <w:basedOn w:val="1"/>
    <w:qFormat/>
    <w:uiPriority w:val="0"/>
    <w:rPr>
      <w:rFonts w:eastAsia="方正黑体简体"/>
      <w:sz w:val="4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page number"/>
    <w:basedOn w:val="9"/>
    <w:qFormat/>
    <w:uiPriority w:val="0"/>
  </w:style>
  <w:style w:type="paragraph" w:customStyle="1" w:styleId="11">
    <w:name w:val="p16"/>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1586</Words>
  <Characters>1759</Characters>
  <Lines>0</Lines>
  <Paragraphs>0</Paragraphs>
  <TotalTime>3</TotalTime>
  <ScaleCrop>false</ScaleCrop>
  <LinksUpToDate>false</LinksUpToDate>
  <CharactersWithSpaces>1915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2023-04-10T02:27:00Z</dcterms:created>
  <dc:creator>Administrator</dc:creator>
  <cp:lastModifiedBy>阿岳爱大猫</cp:lastModifiedBy>
  <cp:lastPrinted>2023-08-17T01:13:00Z</cp:lastPrinted>
  <dcterms:modified xsi:type="dcterms:W3CDTF">2024-12-04T06:28:23Z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D6404F68A5EA4B9386204B8C80E338B1_13</vt:lpwstr>
  </property>
</Properties>
</file>