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FA" w:rsidRPr="00FA2FFA" w:rsidRDefault="00FA2FFA" w:rsidP="00FA2FFA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color w:val="005CA2"/>
          <w:kern w:val="0"/>
          <w:sz w:val="32"/>
          <w:szCs w:val="30"/>
        </w:rPr>
      </w:pPr>
      <w:bookmarkStart w:id="0" w:name="_GoBack"/>
      <w:r w:rsidRPr="00FA2FFA">
        <w:rPr>
          <w:rFonts w:ascii="仿宋" w:eastAsia="仿宋" w:hAnsi="仿宋" w:cs="宋体" w:hint="eastAsia"/>
          <w:b/>
          <w:bCs/>
          <w:color w:val="005CA2"/>
          <w:kern w:val="0"/>
          <w:sz w:val="32"/>
          <w:szCs w:val="30"/>
        </w:rPr>
        <w:t>武汉杨泗港长江大桥引桥工程汉阳岸“1·13” 一般高处坠落事故调查报告</w:t>
      </w:r>
    </w:p>
    <w:bookmarkEnd w:id="0"/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2019年1月13日5时许，位于武汉杨泗港长江大桥引桥工程汉阳岸N1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联钢箱梁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施工现场发生一起高处坠落事故，造成1人死亡(骆军，男，38岁，湖北武汉人)。事故直接经济损失约220.54万元。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根据《安全生产法》、《生产安全事故报告和调查处理条例》(国务院令第493号)、《湖北省生产安全事故报告和调查处理办法》(省政府令第354号)等有关规定，组织成立了武汉市“1·13”一般高处坠落事故调查组，对事故展开调查。事故调查组按照“四不放过”和“科学严谨、依法依规、实事求是、注重实效”的原则，通过现场勘查、调查取证、人员询问和综合分析，查清了事故发生经过、原因、人员伤亡和财产损失情况，认定了事故性质和事故责任，提出了对有关责任人员及责任单位的处理建议和事故防范措施建议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一、事发工程及参建各方基本情况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(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一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)事发工程基本情况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事发工程为武汉杨泗港长江大桥引桥工程，事发点为该工程汉阳岸N1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联钢箱梁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右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幅施工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现场。汉阳岸引桥总长973米，其中N1联为紧连1#主塔的引桥箱梁，上层桥为钢箱梁，下层桥为预应力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砼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箱梁。钢箱梁长115米，宽26米，高2.32米，上层桥面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至跨中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地面高30.7米，至大堤顶面高25.7米。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上层桥钢箱梁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lastRenderedPageBreak/>
        <w:t>于2018年11月29日开始吊装，12月23日吊装完成。焊接工作从12月10日开始，事故发生时，主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体环缝已全部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焊接完成，剩余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48节挑臂未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焊接。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(二)工程参建各方基本情况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1.建设单位为武汉杨泗港大桥有限公司，类型为有限责任公司，住所为武汉市汉阳区马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鹦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路6号中青假日酒店8212室，法定代表人为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黄支金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，注册资本30000万元人民币，统一社会信用代码:91420105303762547X，经营范围:对路桥工程投资;城市建设管理;城镇化建设(依法须经批准的项目，经相关部门批准后方可开展经营活动)。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2.专业分包单位为武船重型工程股份有限公司，类型为股份有限公司(非上市)，住所为新洲区阳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逻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镇潘龙路117号，法定代表人为杨宏刚，注册资本为22300万元人民币，统一社会信用代码:914201007145511030，经营范围:各类钢结构制造安装;桥梁工程施工;桥梁检修设备设计制造、安装;房屋建筑工程、市政公用工程施工;防腐保温涂装工程施工;水工金属结构制造与安装;金属材料、机电设备、管道、涂料销售。该公司持有湖北省住房和城乡建设厅颁发的《安全生产许可证》，证书编号(鄂)JZ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安许证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字[2005]000456-1/2;有效期自2017年3月31日至2020年3月31日。该公司持有国家住房和城乡建设部颁发的《建筑业企业资质证书》，证书编号:D242036824，资质类别及等级:起重</w:t>
      </w:r>
      <w:r w:rsidRPr="00FA2FFA">
        <w:rPr>
          <w:rFonts w:ascii="仿宋" w:eastAsia="仿宋" w:hAnsi="仿宋" w:hint="eastAsia"/>
          <w:color w:val="666666"/>
          <w:sz w:val="30"/>
          <w:szCs w:val="30"/>
        </w:rPr>
        <w:lastRenderedPageBreak/>
        <w:t>设备安装工程专业承包贰级;建筑机电安装工程专业贰级;防水防腐保温工程专业承包壹级。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3.劳务单位为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武汉精杰重型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工程有限公司，类型为有限责任公司(自然人投资或控股)，住所为武汉市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蔡甸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区奓山街大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东村特18号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，法定代表人为张家华，注册资本为5000万元人民币，统一社会信用代码91420114672766674M，经营范围:钢结构制造、加工、安装;机械设备租赁;门式、桥式起重机械的制造、安装、改造维修;桥梁加固维修;桥梁顶推、滑移技术服务、技术咨询;金属材料加工、销售。该公司持有湖北省住房和城乡建设厅颁发的《安全生产许可证》，证书编号(鄂)JZ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安许证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字[2012]007321;有效期自2018年6月27日至2021年6月27日。持有湖北省住房和城乡建设厅颁发的《建筑业企业资质证书》，证书编号D242012176;资质类别及等级为钢结构工程专业承包贰级。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2018年7月22日，武船重型工程股份有限公司与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武汉精杰重型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工程有限公司签订了《建设工程施工劳务分包合同》。分包内容为汉阳北岸N1联、N7联、YS联、YX联钢结构装焊劳务施工。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武汉精杰重型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工程有限公司于2018年11月15日向监理方提出开工申请，于2018年11月18日获得批准施工。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4.监理单位为铁四院(湖北)监理咨询有限公司，类型为有限责任公司(非自然人投资或控股的法人独资)，住所为武汉市武昌区和平大道745号，法定代表人为王兴利，注册资本600万元人民币，统一社会信用代码:91420000706806559Q，经营范围:承担</w:t>
      </w:r>
      <w:r w:rsidRPr="00FA2FFA">
        <w:rPr>
          <w:rFonts w:ascii="仿宋" w:eastAsia="仿宋" w:hAnsi="仿宋" w:hint="eastAsia"/>
          <w:color w:val="666666"/>
          <w:sz w:val="30"/>
          <w:szCs w:val="30"/>
        </w:rPr>
        <w:lastRenderedPageBreak/>
        <w:t>甲级资质范围内的铁路工程、房屋建筑工程、市政公用工程(含地铁、轻轨)、林业及生态工程、公路工程的建设监理业务;工程质量检测;工程材料检测;工程建设项目的技术咨询、技术服务。(涉及许可经营项目，应取得相关部门许可后方可经营)。该公司持有国家住房和城乡建设部颁发的《行业资质证书》，证书号为E142003605-4/1，资质类别及等级为工程监理综合资质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二、事故发生经过、救援及直接经济损失情况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(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一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)事故发生经过和救援情况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2019年1月12日，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武汉精杰重型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工程有限公司焊工班组长卢士威安排夜班人员骆军、王飞、吴凯在杨泗港长江大桥钢箱梁N1联进行桥面板焊接工作。三人从18时开始作业，骆军一人在N1联汉阳侧桥头对面板进行焊接，王飞、吴凯在N1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联距骆军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50m左右的桥中作业，卢士威安排好工作后于22时左右下桥。骆军、王飞、吴凯三人在焊接至23时40分左右在桥上一起吃宵夜，后各自回到自己的施工部位继续进行施工作业。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13日凌晨3时左右，王飞还看见骆军在其作业面焊接。5时40分左右，王飞与吴凯完成工作后，前往骆军施工部位喊他一起下班，未发现骆军，且发现其现场使用的焊机未关，作业工具及茶杯等随身携带的用品放在工位上。二人随即打电话也未接，遂下桥回宿舍寻找未果，随后二人于6时30分左右拿手电返回施工区域寻找。6时50分左右，在N1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联钢箱梁桥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底发现骆军侧卧于地面上，呼唤和摇动均无反应。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lastRenderedPageBreak/>
        <w:t>事发后，现场人员立即组织人员施救，并拨打了120急救电话。7时40分，救护车到达后将骆军送至汉阳医院进行抢救。8时10分到达医院，骆军经抢救无效于8时57分宣告死亡，诊断为胸部外伤、腹部外伤。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(二)直接经济损失情况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事故直接经济损失总计220.54万元。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三、现场勘查情况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1.死者骆军焊接作业点位于武汉杨泗港长江大桥引桥工程汉阳岸N1联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上层钢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箱梁处。事发后，死者被人发现倒在距离N2#桥墩约5.77m处的地面上，安全帽在身旁，该地点位于作业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面施工预留缝正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下方，距离桥面垂直高度约30.74m。(图1现场立面示意图)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2.施工预留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缝位于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桥面正中心，宽0.5m，贯穿整个引桥。事发前，未设置安全防护措施和安全警示标识。(图2、3事故现场照片)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3.经核，骆军(死者)、王飞、吴凯三人均持有焊接与热切割作业证。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/>
          <w:noProof/>
          <w:color w:val="666666"/>
          <w:sz w:val="30"/>
          <w:szCs w:val="30"/>
        </w:rPr>
        <w:lastRenderedPageBreak/>
        <w:drawing>
          <wp:inline distT="0" distB="0" distL="0" distR="0" wp14:anchorId="32D93BD2" wp14:editId="52D8B2E4">
            <wp:extent cx="4175125" cy="2579370"/>
            <wp:effectExtent l="0" t="0" r="0" b="0"/>
            <wp:docPr id="3" name="图片 3" descr="http://yjj.wuhan.gov.cn/zfxxgk/fdzdgk/gysyjs/tfggsj/sgxx/202008/W020200828680450608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jj.wuhan.gov.cn/zfxxgk/fdzdgk/gysyjs/tfggsj/sgxx/202008/W0202008286804506084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图1引桥立面示意图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/>
          <w:noProof/>
          <w:color w:val="666666"/>
          <w:sz w:val="30"/>
          <w:szCs w:val="30"/>
        </w:rPr>
        <w:drawing>
          <wp:inline distT="0" distB="0" distL="0" distR="0" wp14:anchorId="5E53B93B" wp14:editId="4CF5F58F">
            <wp:extent cx="2346325" cy="2820670"/>
            <wp:effectExtent l="0" t="0" r="0" b="0"/>
            <wp:docPr id="2" name="图片 2" descr="http://yjj.wuhan.gov.cn/zfxxgk/fdzdgk/gysyjs/tfggsj/sgxx/202008/W020200828680451059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jj.wuhan.gov.cn/zfxxgk/fdzdgk/gysyjs/tfggsj/sgxx/202008/W0202008286804510596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图2作业现场照片</w:t>
      </w:r>
      <w:r w:rsidRPr="00FA2FFA">
        <w:rPr>
          <w:rFonts w:hint="eastAsia"/>
          <w:color w:val="666666"/>
          <w:sz w:val="30"/>
          <w:szCs w:val="30"/>
        </w:rPr>
        <w:t> 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/>
          <w:noProof/>
          <w:color w:val="666666"/>
          <w:sz w:val="30"/>
          <w:szCs w:val="30"/>
        </w:rPr>
        <w:lastRenderedPageBreak/>
        <w:drawing>
          <wp:inline distT="0" distB="0" distL="0" distR="0" wp14:anchorId="12DA42B9" wp14:editId="5A3E6987">
            <wp:extent cx="2346325" cy="2820670"/>
            <wp:effectExtent l="0" t="0" r="0" b="0"/>
            <wp:docPr id="1" name="图片 1" descr="http://yjj.wuhan.gov.cn/zfxxgk/fdzdgk/gysyjs/tfggsj/sgxx/202008/W020200828680451391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jj.wuhan.gov.cn/zfxxgk/fdzdgk/gysyjs/tfggsj/sgxx/202008/W0202008286804513919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图3现场照片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四、事故原因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事故调查组依据有关法律、法规和规定，通过事故调查和分析，认为造成事故的原因如下: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(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一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)直接原因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现场安全防护措施不到位，违反了《建筑施工高处作业安全技术规范》(JGJ80-2016)中“坠落高度基准面2m及以上临边作业时，应在临空一侧设置防护栏杆，并应采用密目式安全立网或工具式栏板封闭”及《杨泗港长江大桥工程引桥及匝道工地施工专项方案》中“各种孔口、洞口必须视情况分别设置牢固的盖板、防护栏杆、封闭式的安全网”有关要求，未对桥面施工预留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缝采取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安全防护，也未设置警示标识，作业人员骆军在焊接作业过程中，不慎从施工预留缝坠落至桥下地面，是事故发生的直接原因。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(二)管理原因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lastRenderedPageBreak/>
        <w:t>1.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武汉精杰重型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工程有限公司安全生产责任不落实:一是安全防护措施不到位，未严格落实专项施工方案，未对桥面施工预留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缝采取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安全防护。二是现场安全管理不到位，未安排专人对夜间作业进行现场监管，未实施有效过程管控。三是未制定安全生产教育和培训计划，安全生产教育和培训档案不健全。四是现场专职安全员配置不合理，仅配置一名专职安全员，未按规定配置不少于2人以上的专职安全员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2.武船重型工程股份有限公司安全管理不到位:一是未督促和指导劳务单位严格落实专项施工方案要求，未对桥面施工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预留缝未采取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安全防护。二是现场安全管理不到位，未安排人员对夜间作业进行安全巡查，未能及时掌握夜间施工情况。三是对新进场作业的劳务人员未严格实施安全生产教育和培训，无教育培训合格记录。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3.铁四院(湖北)监理咨询有限公司安全监理不力:一是隐患排查治理不到位，对桥面施工预留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缝存在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的安全隐患未及时提出整改意见。二是对夜间施工作业未进行安全巡查，未实施全过程安全监理。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五、事故性质、事故责任区分及处理建议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经调查认定，该事故是一起生产安全责任事故。依据有关法律、法规和规定，事故调查组建议对事故处理如下: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建议由应急管理部门对事故责任单位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武汉精杰重型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工程有限公司及其法定代表人张家华、武船重型工程股份有限公司项目经</w:t>
      </w:r>
      <w:r w:rsidRPr="00FA2FFA">
        <w:rPr>
          <w:rFonts w:ascii="仿宋" w:eastAsia="仿宋" w:hAnsi="仿宋" w:hint="eastAsia"/>
          <w:color w:val="666666"/>
          <w:sz w:val="30"/>
          <w:szCs w:val="30"/>
        </w:rPr>
        <w:lastRenderedPageBreak/>
        <w:t>理林辉中、铁四院(湖北)监理咨询有限公司项目总监罗国耀实施行政处罚;对事故发生负有责任的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武汉精杰重型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工程有限公司现场安全员吴克威和项目负责人刘武、武船重型工程股份有限公司现场负责人王信、铁四院(湖北)监理咨询有限公司项目安全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监理工程师程骏等人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，按公司内部管理规定进行处理，结果报应急管理部门。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六、事故防范及整改措施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工程参建各方要深刻吸取“1·13”一般高坠事故教训，充分认识安全生产工作的极端重要性，切实把思想和行动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统一到习近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平总书记重要讲话精神上来，牢固树立起安全生产红线意识，认真贯彻执行国家安全生产有关法律、法规和规范有关要求，切实加强安全生产工作。一是要严格落实现场各项安全防护措施，严格执行专项施工方案有关要求，对施工现场存在的预留缝、孔洞、梯道等临边区域和部位设置警示标识，采取切实有效的防坠落措施，确保现场作业安全。二是要强化现场安全管理，对重点时段、重点工种要安排专人负责现场管理，加大安全巡查力度，有效实施全过程安全管控，对现场存在的安全隐患要及时督促整改到位。三是要进一步加强和完善安全管理机构和队伍建设，按要求配备专职安全管理人员，切实增强现场管理力量，有效提高现场隐患排查治理工作。四是要严格落实安全生产教育和培训制度，按规定制定和实施教育培训计划，建立和完善本单位教育培训</w:t>
      </w:r>
      <w:proofErr w:type="gramStart"/>
      <w:r w:rsidRPr="00FA2FFA">
        <w:rPr>
          <w:rFonts w:ascii="仿宋" w:eastAsia="仿宋" w:hAnsi="仿宋" w:hint="eastAsia"/>
          <w:color w:val="666666"/>
          <w:sz w:val="30"/>
          <w:szCs w:val="30"/>
        </w:rPr>
        <w:t>档案台</w:t>
      </w:r>
      <w:proofErr w:type="gramEnd"/>
      <w:r w:rsidRPr="00FA2FFA">
        <w:rPr>
          <w:rFonts w:ascii="仿宋" w:eastAsia="仿宋" w:hAnsi="仿宋" w:hint="eastAsia"/>
          <w:color w:val="666666"/>
          <w:sz w:val="30"/>
          <w:szCs w:val="30"/>
        </w:rPr>
        <w:t>账。五是要进一步加强对专业分包队伍的安全管理，督促专业分</w:t>
      </w:r>
      <w:r w:rsidRPr="00FA2FFA">
        <w:rPr>
          <w:rFonts w:ascii="仿宋" w:eastAsia="仿宋" w:hAnsi="仿宋" w:hint="eastAsia"/>
          <w:color w:val="666666"/>
          <w:sz w:val="30"/>
          <w:szCs w:val="30"/>
        </w:rPr>
        <w:lastRenderedPageBreak/>
        <w:t>包队伍全面落实安全管理责任，严格执行专项施工方案，加强作业人员安全培训教育，全面组织开展现场隐患排查治理工作，进一步提高现场安全管理水平。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武汉市“1·13”一般高坠事故调查组</w:t>
      </w:r>
    </w:p>
    <w:p w:rsidR="00FA2FFA" w:rsidRPr="00FA2FFA" w:rsidRDefault="00FA2FFA" w:rsidP="00FA2FFA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仿宋" w:eastAsia="仿宋" w:hAnsi="仿宋" w:hint="eastAsia"/>
          <w:color w:val="666666"/>
          <w:sz w:val="30"/>
          <w:szCs w:val="30"/>
        </w:rPr>
      </w:pPr>
      <w:r w:rsidRPr="00FA2FFA">
        <w:rPr>
          <w:rFonts w:ascii="仿宋" w:eastAsia="仿宋" w:hAnsi="仿宋" w:hint="eastAsia"/>
          <w:color w:val="666666"/>
          <w:sz w:val="30"/>
          <w:szCs w:val="30"/>
        </w:rPr>
        <w:t>2019年2月</w:t>
      </w:r>
    </w:p>
    <w:p w:rsidR="00C846F7" w:rsidRPr="00FA2FFA" w:rsidRDefault="00C846F7">
      <w:pPr>
        <w:rPr>
          <w:rFonts w:ascii="仿宋" w:eastAsia="仿宋" w:hAnsi="仿宋"/>
          <w:sz w:val="30"/>
          <w:szCs w:val="30"/>
        </w:rPr>
      </w:pPr>
    </w:p>
    <w:sectPr w:rsidR="00C846F7" w:rsidRPr="00FA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51"/>
    <w:rsid w:val="00C846F7"/>
    <w:rsid w:val="00CD1451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A2FF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A2FFA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F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A2FF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A2FFA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F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638</Words>
  <Characters>3641</Characters>
  <Application>Microsoft Office Word</Application>
  <DocSecurity>0</DocSecurity>
  <Lines>30</Lines>
  <Paragraphs>8</Paragraphs>
  <ScaleCrop>false</ScaleCrop>
  <Company>微软中国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2021-03-05T15:40:00Z</dcterms:created>
  <dcterms:modified xsi:type="dcterms:W3CDTF">2021-03-05T15:41:00Z</dcterms:modified>
</cp:coreProperties>
</file>