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16" w:rsidRPr="00DD5416" w:rsidRDefault="00DD5416" w:rsidP="00DD5416">
      <w:pPr>
        <w:widowControl/>
        <w:pBdr>
          <w:bottom w:val="dotted" w:sz="6" w:space="11" w:color="CCCCCC"/>
        </w:pBdr>
        <w:shd w:val="clear" w:color="auto" w:fill="FFFFFF"/>
        <w:spacing w:line="480" w:lineRule="atLeast"/>
        <w:jc w:val="center"/>
        <w:outlineLvl w:val="0"/>
        <w:rPr>
          <w:rFonts w:ascii="仿宋" w:eastAsia="仿宋" w:hAnsi="仿宋" w:cs="宋体"/>
          <w:b/>
          <w:bCs/>
          <w:color w:val="333333"/>
          <w:kern w:val="36"/>
          <w:sz w:val="32"/>
          <w:szCs w:val="32"/>
        </w:rPr>
      </w:pPr>
      <w:bookmarkStart w:id="0" w:name="_GoBack"/>
      <w:r w:rsidRPr="00DD5416">
        <w:rPr>
          <w:rFonts w:ascii="仿宋" w:eastAsia="仿宋" w:hAnsi="仿宋" w:cs="宋体" w:hint="eastAsia"/>
          <w:b/>
          <w:bCs/>
          <w:color w:val="333333"/>
          <w:kern w:val="36"/>
          <w:sz w:val="32"/>
          <w:szCs w:val="32"/>
        </w:rPr>
        <w:t>成都枭龙焊管有限公司“2017.9.6”一般火灾事故调查报告</w:t>
      </w:r>
    </w:p>
    <w:bookmarkEnd w:id="0"/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2017年9月6日7时左右，成都枭龙焊管有限公司焊管车间9号机组发生一起一般火灾事故，造成1名职工重伤，直接经济损失100万元。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2017年9月6日19时43分，区安监局值班室接到该起事故伤者家属举报电话。依据《生产安全事故报告和调查处理条例》（国务院令第493号）和《四川省生产安全事故报告和调查处理规定》（省政府令第225号）等规定，9月7日，区安监局牵头成立了成都枭龙焊管有限公司“2017</w:t>
      </w:r>
      <w:r w:rsidRPr="00DD5416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•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9</w:t>
      </w:r>
      <w:r w:rsidRPr="00DD5416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•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6”一般火灾事故调查组，调查组由区安监局、区监察局、区公安分局、区总工会、区科经信局、港管委、</w:t>
      </w:r>
      <w:proofErr w:type="gramStart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祥</w:t>
      </w:r>
      <w:proofErr w:type="gramEnd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福镇政府等单位派员组成，负责事故调查工作。同时，邀请了区检察院派员参加事故调查。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事故调查组按照“四不放过”和“科学严谨、依法依规、实事求是、注重实效”原则，通过现场勘查、调查取证、查阅资料并询问有关当事人，查明事故发生的经过、原因、人员伤亡和直接经济损失情况，认定事故性质，提出对有关责任人和责任单位的处理建议，并针对事故暴露出的突出问题，提出事故防范措施建议。现将事故相关情况报告如下：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一、事故基本情况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（一）事故发生单位情况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成都枭龙焊管有限公司位于成都市</w:t>
      </w:r>
      <w:proofErr w:type="gramStart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青白江</w:t>
      </w:r>
      <w:proofErr w:type="gramEnd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区工业集中发展区南区同济大道，2010年7月8日成立，法定代表人钟贵昭，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>注册资本伍仟万元人民币，公司现有职工180人，经营范围包括生产、销售：高频焊管、金属制品等，公司统一社会信用代码915101135564027694。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（二）事故伤亡情况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此起事故造成成都枭龙焊管有限公司职工高顺华全身烧伤面积达90%，烧伤程度Ⅱ-ⅢО。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925"/>
        <w:gridCol w:w="925"/>
        <w:gridCol w:w="925"/>
        <w:gridCol w:w="925"/>
        <w:gridCol w:w="1061"/>
        <w:gridCol w:w="1061"/>
        <w:gridCol w:w="1440"/>
      </w:tblGrid>
      <w:tr w:rsidR="00DD5416" w:rsidRPr="00DD5416" w:rsidTr="00DD5416">
        <w:trPr>
          <w:trHeight w:val="795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性别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年龄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民族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籍贯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文化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工龄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伤害程度</w:t>
            </w:r>
          </w:p>
        </w:tc>
      </w:tr>
      <w:tr w:rsidR="00DD5416" w:rsidRPr="00DD5416" w:rsidTr="00DD5416">
        <w:trPr>
          <w:trHeight w:val="795"/>
        </w:trPr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高顺华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仁寿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小学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1年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D5416" w:rsidRPr="00DD5416" w:rsidRDefault="00DD5416" w:rsidP="00DD541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30"/>
                <w:szCs w:val="30"/>
              </w:rPr>
            </w:pPr>
            <w:r w:rsidRPr="00DD5416">
              <w:rPr>
                <w:rFonts w:ascii="仿宋" w:eastAsia="仿宋" w:hAnsi="仿宋" w:cs="宋体" w:hint="eastAsia"/>
                <w:color w:val="666666"/>
                <w:kern w:val="0"/>
                <w:sz w:val="30"/>
                <w:szCs w:val="30"/>
              </w:rPr>
              <w:t>重伤</w:t>
            </w:r>
          </w:p>
        </w:tc>
      </w:tr>
    </w:tbl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二、事故发生经过和事故救援情况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（一）事故经过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2017年9月6日6时30左右，成都枭龙焊管有限公司9号焊管机组准备下班，班长</w:t>
      </w:r>
      <w:proofErr w:type="gramStart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黄金林安排</w:t>
      </w:r>
      <w:proofErr w:type="gramEnd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组员打扫卫生，要求上料工廖方荣到库房领取汽油擦拭焊管机组，廖方荣用小塑料桶从库房领取4.1升汽油回到现场，将汽油桶放在机组上，然后黄金林、高顺华、杨焕云用棉纱</w:t>
      </w:r>
      <w:proofErr w:type="gramStart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蘸</w:t>
      </w:r>
      <w:proofErr w:type="gramEnd"/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汽油擦拭焊管机组。7时左右，罗吉荣清扫完地面来到现场，向在场人员发烟，约20秒后，9号焊管机组擦拭现场突然燃烧，引燃高顺华全身衣物，在场人员立即将其全身衣物明火扑灭，并用公司车辆将高顺华送往成都医学院附属第一医院救治，随后转入四川大学华西医院医治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（二）善后处理情况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 xml:space="preserve">　　事故发生后，相关职能部门积极指导、督促事故单位做好事故伤者医治工作。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三、事故原因及性质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（一）直接原因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成都枭龙焊管有限公司使用汽油（易燃易爆）清洗设备，现场操作人员吸烟（明火）引燃汽油，导致离油桶最近的操作工全身衣物燃烧。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（二）间接原因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1、安全生产制度有缺失。未严格执行安全生产法律、法规和有关规定，安全生产管理不到位，未建立、健全本单位安全生产责任制和安全生产规章制度（无易燃易爆物品的储存和使用规定）。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2、教育培训不够。未制定和落实本单位安全生产教育和培训计划，未向作业人员告知作业场所和工作岗位存在的危险因素、防范措施以及事故应急措施，员工安全生产意识淡薄。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3、生产现场安全隐患排查不到位。未及时排查生产安全事故隐患，未制止和纠正违反操作规程的行为。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4、事故发生后，未依法向区安监局等部门报告生产安全事故，未保护事故现场。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（三）事故性质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经事故调查组认真调查、分析认定，“2017</w:t>
      </w:r>
      <w:r w:rsidRPr="00DD5416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•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9</w:t>
      </w:r>
      <w:r w:rsidRPr="00DD5416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•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6”一般火灾事故是一起生产安全责任事故。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 xml:space="preserve">　　四、对事故有关人员、单位的责任认定及处理建议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（一）对有关人员的责任认定及处理建议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1、黄金林，成都枭龙焊管有限公司七班班长。安全生产意识淡薄，在使用易燃易爆物品的场所吸烟，导致清洗现场汽油燃烧，违反了《四川省安全生产条例》第四条、第二十五条第二款之规定，应负直接责任。建议依据《四川省生产安全事故报告和调查处理规定》（四川省政府令第225号）第三十八条第一款第（一）项之规定，给予行政处罚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2、钟贵昭，中共党员，公司支部书记，金牛区人大代表，成都枭龙焊管有限公司法定代表人。未严格执行安全生产法律、法规和有关规定，履职不到位，未建立、健全本单位安全生产责任制，组织制定本单位安全生产规章制度和操作规程不全面，未组织制定并实施本单位安全生产教育和培训计划，未组织督促检查本单位的安全生产工作，未及时发现和整改安全隐患，未组织制定并实施本单位的生产安全事故应急救援预案，未依法向区安监局等部门报告生产安全事故，属瞒报行为，未保护事故现场，违反了《中华人民共和国安全生产法》第五条、第十八条第（一）、（二）、（三）、（五）、（六）、（七）项之规定，应负主要领导责任。建议依据《中华人民共和国安全生产法》第九十二条第（一）项、第一百零六条和《生产安全事故罚款处罚规定（试行）》（安监总局第13号令发布，42号令、77号令修改）第十三条第（二）项之规定，给予行政处罚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 xml:space="preserve">　　3、代明川，中共党员，成都枭龙焊管有限公司副总经理兼焊管车间主任。未严格执行安全生产法律、法规和有关规定，未建立、健全本车间的安全管理制度等，组织教育培训本车间职工不力，组织、督促检查安全生产不到位，违反了《四川省安全生产条例》第四条、第二十五条第二款之规定，应负重要管理责任。建议依据《四川省生产安全事故报告和调查处理规定》（四川省政府令第225号）第三十八条第一款第（一）项之规定，给予行政处罚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（二）对单位的责任认定及处理建议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成都枭龙焊管有限公司。未严格执行安全生产法律、法规和有关规定，安全生产管理不到位，未建立、健全本单位安全生产责任制和安全生产规章制度：如易燃易爆物品的储存和使用规定等。未制定和落实本单位安全生产教育和培训计划，未向作业人员告知作业场所和工作岗位存在的危险因素、防范措施以及事故应急措施，员工安全生产意识淡薄。未及时排查生产安全事故隐患，未制止和纠正违反操作规程的行为。违反了《中华人民共和国安全生产法》第四条、第二十五条第一款、第四款、第三十八条第一款、第四十一条之规定，是事故发生责任单位，建议依据《中华人民共和国安全生产法》第一百零九条第（一）项之规定，给予行政处罚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五、事故防范和整改措施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lastRenderedPageBreak/>
        <w:t xml:space="preserve">　　为吸取此次事故教训，成都枭龙焊管有限公司应警钟长鸣，举一反三，强化管理，进一步落实企业安全生产主体责任，防止类似事故再次发生。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（一）必须遵守安全生产法律、法规和有关规定，建立健全和落实本单位安全生产责任制、安全生产规章制度，改善安全生产条件，提高安全生产水平，确保安全生产。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二）应制定和实施本单位安全生产教育和培训计划，按培训计划对从业人员进行安全生产教育和培训，保证从业人员具备必要的安全生产知识，熟悉有关的安全生产规章制度，掌握本岗位的安全操作技能，了解事故应急处理措施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（三）必须建立健全生产安全事故隐患排查治理制度，采取技术、管理措施，及时发现并消除事故隐患，认真落实监督、检查，并向从业人员通报事故隐患排查治理情况。</w:t>
      </w:r>
    </w:p>
    <w:p w:rsidR="00DD5416" w:rsidRPr="00DD5416" w:rsidRDefault="00DD5416" w:rsidP="00DD5416">
      <w:pPr>
        <w:widowControl/>
        <w:shd w:val="clear" w:color="auto" w:fill="FFFFFF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（四）生产经营单位应加强现场安全管理，加强安全风险辨识和隐患排查治理，结合本单位的安全生产风险辨识、分析情况和可能发生的事故特点，制定相应的应急预案，并要定期组织应急演练。</w:t>
      </w:r>
    </w:p>
    <w:p w:rsidR="00DD5416" w:rsidRPr="00DD5416" w:rsidRDefault="00DD5416" w:rsidP="00DD5416">
      <w:pPr>
        <w:widowControl/>
        <w:shd w:val="clear" w:color="auto" w:fill="FFFFFF"/>
        <w:jc w:val="righ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“2017</w:t>
      </w:r>
      <w:r w:rsidRPr="00DD5416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•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9</w:t>
      </w:r>
      <w:r w:rsidRPr="00DD5416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•</w:t>
      </w: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6”一般火灾事故调查组</w:t>
      </w:r>
    </w:p>
    <w:p w:rsidR="00DD5416" w:rsidRPr="00DD5416" w:rsidRDefault="00DD5416" w:rsidP="00DD5416">
      <w:pPr>
        <w:widowControl/>
        <w:shd w:val="clear" w:color="auto" w:fill="FFFFFF"/>
        <w:jc w:val="righ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  <w:r w:rsidRPr="00DD5416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 xml:space="preserve">　　2017年10月26日</w:t>
      </w:r>
    </w:p>
    <w:p w:rsidR="00171282" w:rsidRPr="00DD5416" w:rsidRDefault="00171282">
      <w:pPr>
        <w:rPr>
          <w:rFonts w:ascii="仿宋" w:eastAsia="仿宋" w:hAnsi="仿宋"/>
          <w:sz w:val="30"/>
          <w:szCs w:val="30"/>
        </w:rPr>
      </w:pPr>
    </w:p>
    <w:sectPr w:rsidR="00171282" w:rsidRPr="00DD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C8"/>
    <w:rsid w:val="00171282"/>
    <w:rsid w:val="003959C8"/>
    <w:rsid w:val="00D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54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541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5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54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541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54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455</Words>
  <Characters>2594</Characters>
  <Application>Microsoft Office Word</Application>
  <DocSecurity>0</DocSecurity>
  <Lines>21</Lines>
  <Paragraphs>6</Paragraphs>
  <ScaleCrop>false</ScaleCrop>
  <Company>微软中国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2021-03-05T06:58:00Z</dcterms:created>
  <dcterms:modified xsi:type="dcterms:W3CDTF">2021-03-05T07:01:00Z</dcterms:modified>
</cp:coreProperties>
</file>