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DB" w:rsidRPr="008A63D8" w:rsidRDefault="008A63D8" w:rsidP="008A63D8">
      <w:pPr>
        <w:jc w:val="center"/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</w:pPr>
      <w:r w:rsidRPr="008A63D8"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宁夏宝丰能源集团有限公司</w:t>
      </w:r>
      <w:proofErr w:type="gramStart"/>
      <w:r w:rsidRPr="008A63D8"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马莲台</w:t>
      </w:r>
      <w:proofErr w:type="gramEnd"/>
      <w:r w:rsidRPr="008A63D8"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煤矿“4·5”运输事故调查报告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2019年4月5日19时11分，宁夏宝丰能源集团有限公司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马莲台</w:t>
      </w:r>
      <w:proofErr w:type="gramEnd"/>
      <w:r w:rsidRPr="008A63D8">
        <w:rPr>
          <w:rFonts w:ascii="仿宋" w:eastAsia="仿宋" w:hAnsi="仿宋" w:cs="宋体"/>
          <w:color w:val="000000"/>
          <w:kern w:val="0"/>
          <w:sz w:val="30"/>
          <w:szCs w:val="30"/>
        </w:rPr>
        <w:fldChar w:fldCharType="begin"/>
      </w:r>
      <w:r w:rsidRPr="008A63D8">
        <w:rPr>
          <w:rFonts w:ascii="仿宋" w:eastAsia="仿宋" w:hAnsi="仿宋" w:cs="宋体"/>
          <w:color w:val="000000"/>
          <w:kern w:val="0"/>
          <w:sz w:val="30"/>
          <w:szCs w:val="30"/>
        </w:rPr>
        <w:instrText xml:space="preserve"> HYPERLINK "http://www.mkaq.org/" \o "煤矿 中国煤矿安全网" \t "_blank" </w:instrText>
      </w:r>
      <w:r w:rsidRPr="008A63D8">
        <w:rPr>
          <w:rFonts w:ascii="仿宋" w:eastAsia="仿宋" w:hAnsi="仿宋" w:cs="宋体"/>
          <w:color w:val="000000"/>
          <w:kern w:val="0"/>
          <w:sz w:val="30"/>
          <w:szCs w:val="30"/>
        </w:rPr>
        <w:fldChar w:fldCharType="separate"/>
      </w: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煤矿</w:t>
      </w:r>
      <w:r w:rsidRPr="008A63D8">
        <w:rPr>
          <w:rFonts w:ascii="仿宋" w:eastAsia="仿宋" w:hAnsi="仿宋" w:cs="宋体"/>
          <w:color w:val="000000"/>
          <w:kern w:val="0"/>
          <w:sz w:val="30"/>
          <w:szCs w:val="30"/>
        </w:rPr>
        <w:fldChar w:fldCharType="end"/>
      </w: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(以下简称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马莲台</w:t>
      </w:r>
      <w:proofErr w:type="gramEnd"/>
      <w:r w:rsidRPr="008A63D8">
        <w:rPr>
          <w:rFonts w:ascii="仿宋" w:eastAsia="仿宋" w:hAnsi="仿宋" w:cs="宋体"/>
          <w:color w:val="000000"/>
          <w:kern w:val="0"/>
          <w:sz w:val="30"/>
          <w:szCs w:val="30"/>
        </w:rPr>
        <w:fldChar w:fldCharType="begin"/>
      </w:r>
      <w:r w:rsidRPr="008A63D8">
        <w:rPr>
          <w:rFonts w:ascii="仿宋" w:eastAsia="仿宋" w:hAnsi="仿宋" w:cs="宋体"/>
          <w:color w:val="000000"/>
          <w:kern w:val="0"/>
          <w:sz w:val="30"/>
          <w:szCs w:val="30"/>
        </w:rPr>
        <w:instrText xml:space="preserve"> HYPERLINK "http://www.mkaq.org/" \o "煤矿 中国煤矿安全网" \t "_blank" </w:instrText>
      </w:r>
      <w:r w:rsidRPr="008A63D8">
        <w:rPr>
          <w:rFonts w:ascii="仿宋" w:eastAsia="仿宋" w:hAnsi="仿宋" w:cs="宋体"/>
          <w:color w:val="000000"/>
          <w:kern w:val="0"/>
          <w:sz w:val="30"/>
          <w:szCs w:val="30"/>
        </w:rPr>
        <w:fldChar w:fldCharType="separate"/>
      </w: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煤矿</w:t>
      </w:r>
      <w:r w:rsidRPr="008A63D8">
        <w:rPr>
          <w:rFonts w:ascii="仿宋" w:eastAsia="仿宋" w:hAnsi="仿宋" w:cs="宋体"/>
          <w:color w:val="000000"/>
          <w:kern w:val="0"/>
          <w:sz w:val="30"/>
          <w:szCs w:val="30"/>
        </w:rPr>
        <w:fldChar w:fldCharType="end"/>
      </w: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)三四采区+775m回风石门发生一起运输</w:t>
      </w:r>
      <w:hyperlink r:id="rId5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，造成1人死亡，直接经济损失</w:t>
      </w:r>
      <w:r w:rsidRPr="008A63D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133.9万元。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依据《中华人民共和国</w:t>
      </w:r>
      <w:hyperlink r:id="rId6" w:tgtFrame="_blank" w:tooltip="煤矿安全网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生产法》、《</w:t>
      </w:r>
      <w:hyperlink r:id="rId7" w:tgtFrame="_blank" w:tooltip="煤矿安全 煤矿安全网 中国煤矿安全生产网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煤矿安全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监察条例》、《生产</w:t>
      </w:r>
      <w:hyperlink r:id="rId8" w:tgtFrame="_blank" w:tooltip="煤矿安全网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hyperlink r:id="rId9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报告和调查处理条例》等有关</w:t>
      </w:r>
      <w:hyperlink r:id="rId10" w:tgtFrame="_blank" w:tooltip="煤矿法律法规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法律</w:t>
        </w:r>
      </w:hyperlink>
      <w:hyperlink r:id="rId11" w:tgtFrame="_blank" w:tooltip="煤矿法律法规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法规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的规定，宁夏</w:t>
      </w:r>
      <w:hyperlink r:id="rId12" w:tgtFrame="_blank" w:tooltip="煤矿安全 煤矿安全网 中国煤矿安全生产网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煤矿安全</w:t>
        </w:r>
      </w:hyperlink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监察局银北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监察分局会同宁东管委会安监局、监察室，银川市总工会，银川市公安局滨河新区分局等部门联合组成</w:t>
      </w:r>
      <w:hyperlink r:id="rId13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调查组开展</w:t>
      </w:r>
      <w:hyperlink r:id="rId14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调查工作。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hyperlink r:id="rId15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调查组坚持“实事求是、尊重科学”的原则，通过查阅资料、现场勘验、调查取证，查清了</w:t>
      </w:r>
      <w:hyperlink r:id="rId16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发生的经过、原因、人员伤亡和直接经济损失情况，查明了</w:t>
      </w:r>
      <w:hyperlink r:id="rId17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性质，认定了</w:t>
      </w:r>
      <w:hyperlink r:id="rId18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责任，提出了对有关责任人和责任单位的处理建议，并针对</w:t>
      </w:r>
      <w:hyperlink r:id="rId19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原因及暴露出的突出问题，提出了防范</w:t>
      </w:r>
      <w:hyperlink r:id="rId20" w:tgtFrame="_blank" w:tooltip="煤矿安全措施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措施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。现将有关情况报告如下：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一、</w:t>
      </w:r>
      <w:hyperlink r:id="rId21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单位基本情况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（一）矿井概况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马莲台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煤矿所处矿区为横城矿区，隶属于宁夏宝丰能源集团有限公司，属于正常生产矿井，证照齐全有效，见下表：</w:t>
      </w:r>
    </w:p>
    <w:tbl>
      <w:tblPr>
        <w:tblW w:w="6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6"/>
        <w:gridCol w:w="1639"/>
        <w:gridCol w:w="721"/>
        <w:gridCol w:w="156"/>
      </w:tblGrid>
      <w:tr w:rsidR="008A63D8" w:rsidRPr="008A63D8" w:rsidTr="008A63D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3D8" w:rsidRPr="008A63D8" w:rsidRDefault="008A63D8" w:rsidP="008A63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证件名称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3D8" w:rsidRPr="008A63D8" w:rsidRDefault="008A63D8" w:rsidP="008A63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证号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3D8" w:rsidRPr="008A63D8" w:rsidRDefault="008A63D8" w:rsidP="008A63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有效期限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3D8" w:rsidRPr="008A63D8" w:rsidRDefault="008A63D8" w:rsidP="008A63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8A63D8" w:rsidRPr="008A63D8" w:rsidTr="008A63D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3D8" w:rsidRPr="008A63D8" w:rsidRDefault="008A63D8" w:rsidP="008A63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采矿许可证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3D8" w:rsidRPr="008A63D8" w:rsidRDefault="008A63D8" w:rsidP="008A63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C640000200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9051120014266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3D8" w:rsidRPr="008A63D8" w:rsidRDefault="008A63D8" w:rsidP="008A63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2016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．4.30至2019.6.30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3D8" w:rsidRPr="008A63D8" w:rsidRDefault="008A63D8" w:rsidP="008A63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合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法有效</w:t>
            </w:r>
          </w:p>
        </w:tc>
      </w:tr>
      <w:tr w:rsidR="008A63D8" w:rsidRPr="008A63D8" w:rsidTr="008A63D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3D8" w:rsidRPr="008A63D8" w:rsidRDefault="008A63D8" w:rsidP="008A63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hyperlink r:id="rId22" w:tgtFrame="_blank" w:tooltip="煤矿安全网" w:history="1">
              <w:r w:rsidRPr="008A63D8">
                <w:rPr>
                  <w:rFonts w:ascii="仿宋" w:eastAsia="仿宋" w:hAnsi="仿宋" w:cs="宋体" w:hint="eastAsia"/>
                  <w:color w:val="000000"/>
                  <w:kern w:val="0"/>
                  <w:sz w:val="30"/>
                  <w:szCs w:val="30"/>
                </w:rPr>
                <w:t>安全</w:t>
              </w:r>
            </w:hyperlink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生产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8A63D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许可证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3D8" w:rsidRPr="008A63D8" w:rsidRDefault="008A63D8" w:rsidP="008A63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(宁)MK</w:t>
            </w:r>
            <w:proofErr w:type="gramStart"/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安许证</w:t>
            </w:r>
            <w:proofErr w:type="gramEnd"/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字[2010]002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3D8" w:rsidRPr="008A63D8" w:rsidRDefault="008A63D8" w:rsidP="008A63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2016.8.8至2019.8.8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3D8" w:rsidRPr="008A63D8" w:rsidRDefault="008A63D8" w:rsidP="008A63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合法有效</w:t>
            </w:r>
          </w:p>
        </w:tc>
      </w:tr>
      <w:tr w:rsidR="008A63D8" w:rsidRPr="008A63D8" w:rsidTr="008A63D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3D8" w:rsidRPr="008A63D8" w:rsidRDefault="008A63D8" w:rsidP="008A63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营业执照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3D8" w:rsidRPr="008A63D8" w:rsidRDefault="008A63D8" w:rsidP="008A63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916400007749178406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3D8" w:rsidRPr="008A63D8" w:rsidRDefault="008A63D8" w:rsidP="008A63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2016.4.30至2019.6.30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3D8" w:rsidRPr="008A63D8" w:rsidRDefault="008A63D8" w:rsidP="008A63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合法有效</w:t>
            </w:r>
          </w:p>
        </w:tc>
      </w:tr>
      <w:tr w:rsidR="008A63D8" w:rsidRPr="008A63D8" w:rsidTr="008A63D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3D8" w:rsidRPr="008A63D8" w:rsidRDefault="008A63D8" w:rsidP="008A63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煤矿主要负责人</w:t>
            </w:r>
            <w:hyperlink r:id="rId23" w:tgtFrame="_blank" w:tooltip="煤矿安全网" w:history="1">
              <w:r w:rsidRPr="008A63D8">
                <w:rPr>
                  <w:rFonts w:ascii="仿宋" w:eastAsia="仿宋" w:hAnsi="仿宋" w:cs="宋体" w:hint="eastAsia"/>
                  <w:color w:val="000000"/>
                  <w:kern w:val="0"/>
                  <w:sz w:val="30"/>
                  <w:szCs w:val="30"/>
                </w:rPr>
                <w:t>安全</w:t>
              </w:r>
            </w:hyperlink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生产知识和</w:t>
            </w:r>
            <w:hyperlink r:id="rId24" w:tgtFrame="_blank" w:tooltip="煤矿管理" w:history="1">
              <w:r w:rsidRPr="008A63D8">
                <w:rPr>
                  <w:rFonts w:ascii="仿宋" w:eastAsia="仿宋" w:hAnsi="仿宋" w:cs="宋体" w:hint="eastAsia"/>
                  <w:color w:val="000000"/>
                  <w:kern w:val="0"/>
                  <w:sz w:val="30"/>
                  <w:szCs w:val="30"/>
                </w:rPr>
                <w:t>管理</w:t>
              </w:r>
            </w:hyperlink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能力考核合格证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3D8" w:rsidRPr="008A63D8" w:rsidRDefault="008A63D8" w:rsidP="008A63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第642226196511023611号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3D8" w:rsidRPr="008A63D8" w:rsidRDefault="008A63D8" w:rsidP="008A63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2017.4.25至2020.4.24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3D8" w:rsidRPr="008A63D8" w:rsidRDefault="008A63D8" w:rsidP="008A63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A63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合法有效</w:t>
            </w:r>
          </w:p>
        </w:tc>
      </w:tr>
    </w:tbl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矿井</w:t>
      </w:r>
      <w:hyperlink r:id="rId25" w:tgtFrame="_blank" w:tooltip="煤矿设计说明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设计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生产能力240万吨/年，2006年3月开工建设，2008年7月建成投产，2015年核定生产能力为360万吨/年。采用斜井开拓方式，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单水平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上、下山开采。主要可采煤层4层：一、三上、三、五煤，煤种均为气煤。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矿井为低瓦斯矿井，现开采煤层均具有煤尘爆炸危险性，煤层自燃倾向性均为自燃煤层；水文地质类型中等。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矿井一二采区为生产区域，三四采区为二采区的接续采区，正在建设。生产区域与建设区域尚未联通。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（二）矿井生产系统情况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1.一二采区生产情况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矿井采用斜井开拓，布设3条井筒，主斜井、副斜井进风，回风斜井回风，中央并列抽出式</w:t>
      </w:r>
      <w:hyperlink r:id="rId26" w:tgtFrame="_blank" w:tooltip="一通三防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通风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方式。采用走向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长壁全部垮落综合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机械化采煤方法。矿井目前生产采区为二采区。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2.三四采区建设情况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采区采用斜井开拓方式，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主水平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为+750m水平，采区布置有辅助提升斜井、行人斜井和回风斜井三条井筒，</w:t>
      </w:r>
      <w:hyperlink r:id="rId27" w:tgtFrame="_blank" w:tooltip="煤矿设计说明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设计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在+750m水平布置运输石门及大巷与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采区主提升系统搭接，原煤运输采用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胶带机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连续运输方式，井底辅助运输方式采用蓄电池电机车牵引矿车运输。采区各煤层采用石门联合布置方式。一二采区开采完毕后，三四采区</w:t>
      </w:r>
      <w:hyperlink r:id="rId28" w:tgtFrame="_blank" w:tooltip="一通三防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通风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方式调整为分区式，+750m运输石门及大巷通过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采区主斜井、副斜井进风，同时三四采区辅助提升斜井和</w:t>
      </w: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三四采区行人斜井进风，一二采区回风斜井和三四采区回风斜井回风。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目前三四采区辅助提升斜井、行人斜井和回风斜井三条井筒均已施工到底，进入二期井巷工程施工，三四采区井下现有5个掘进工作面，分别为+775m回风石门、+750m井底车场、行人斜井井底联络巷、采区井底临时水仓、胶带上山联络巷，其中+775m回风石门设计长度580m,已施工241m；+750m井底车场设计长度150m，已施工103m；采区行人斜井井底联络巷设计长度196m，已施工146m；采区井底临时水仓设计长度30m，已施工16m;胶带上山联络巷设计长度30m,已施工21m。三四采区主要井巷工程</w:t>
      </w:r>
      <w:hyperlink r:id="rId29" w:tgtFrame="_blank" w:tooltip="工作计划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计划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2020年3月底施工完毕。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</w:t>
      </w:r>
      <w:hyperlink r:id="rId30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地点概况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+775m回风石门设计长度580m，已施工241m，坡度3‰，直墙半圆拱断面, 巷道净宽4.8m，净高4m，净断面积16.81㎡，支护方式为锚网索喷。巷道内铺设轨道轨距为600mm，</w:t>
      </w:r>
      <w:hyperlink r:id="rId31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地点铺设单道。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hyperlink r:id="rId32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地点位于三四采区回风斜井+775m回风石门掘进工作面距迎头147m处,此处巷道宽度4.8m，直墙高1.6m，拱高2.4米，断面积16.81㎡。巷道东侧放置锚固剂、锚杆、钢筋网等材料（材料在材料架码放整齐），事发地点轨道东侧距离材料架1.75m，西侧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距离巷帮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1.1m。电机车牵引3辆满载矸石的侧翻式矿车，</w:t>
      </w: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由迎头向井底装载点方向运行。事发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地点电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机车距警戒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杆原安设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位置为14m。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涉事电机车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型号为CTY5/6GB，长度2.96m，宽度0.92m，高度1.55m，电机车前下沿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距轨心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22cm。矿车为U型1.1m</w:t>
      </w:r>
      <w:r w:rsidRPr="008A63D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³</w:t>
      </w:r>
      <w:r w:rsidRPr="008A63D8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侧翻自卸</w:t>
      </w: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矿车，长度2m，宽度0.89m，高度1.15m。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（四）</w:t>
      </w:r>
      <w:hyperlink r:id="rId33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现场示意图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1.巷道断面图</w:t>
      </w:r>
    </w:p>
    <w:p w:rsidR="008A63D8" w:rsidRPr="008A63D8" w:rsidRDefault="008A63D8" w:rsidP="008A63D8">
      <w:pPr>
        <w:widowControl/>
        <w:shd w:val="clear" w:color="auto" w:fill="FFFFFF"/>
        <w:jc w:val="center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/>
          <w:noProof/>
          <w:color w:val="000000"/>
          <w:kern w:val="0"/>
          <w:sz w:val="30"/>
          <w:szCs w:val="30"/>
        </w:rPr>
        <w:drawing>
          <wp:inline distT="0" distB="0" distL="0" distR="0" wp14:anchorId="1DC663BA" wp14:editId="5EEC9163">
            <wp:extent cx="3829050" cy="3962400"/>
            <wp:effectExtent l="0" t="0" r="0" b="0"/>
            <wp:docPr id="3" name="图片 3" descr="http://www.mkaq.org/UploadFiles/2019/12/201912060835453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kaq.org/UploadFiles/2019/12/201912060835453006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2.</w:t>
      </w:r>
      <w:hyperlink r:id="rId35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现场平面、剖面示意图</w:t>
      </w:r>
    </w:p>
    <w:p w:rsidR="008A63D8" w:rsidRPr="008A63D8" w:rsidRDefault="008A63D8" w:rsidP="008A63D8">
      <w:pPr>
        <w:widowControl/>
        <w:shd w:val="clear" w:color="auto" w:fill="FFFFFF"/>
        <w:jc w:val="center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/>
          <w:noProof/>
          <w:color w:val="000000"/>
          <w:kern w:val="0"/>
          <w:sz w:val="30"/>
          <w:szCs w:val="30"/>
        </w:rPr>
        <w:lastRenderedPageBreak/>
        <w:drawing>
          <wp:inline distT="0" distB="0" distL="0" distR="0" wp14:anchorId="3492735C" wp14:editId="71605594">
            <wp:extent cx="5686425" cy="3086100"/>
            <wp:effectExtent l="0" t="0" r="9525" b="0"/>
            <wp:docPr id="2" name="图片 2" descr="http://www.mkaq.org/UploadFiles/2019/12/201912060835466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kaq.org/UploadFiles/2019/12/201912060835466244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3D8" w:rsidRPr="008A63D8" w:rsidRDefault="008A63D8" w:rsidP="008A63D8">
      <w:pPr>
        <w:widowControl/>
        <w:shd w:val="clear" w:color="auto" w:fill="FFFFFF"/>
        <w:jc w:val="center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/>
          <w:noProof/>
          <w:color w:val="000000"/>
          <w:kern w:val="0"/>
          <w:sz w:val="30"/>
          <w:szCs w:val="30"/>
        </w:rPr>
        <w:drawing>
          <wp:inline distT="0" distB="0" distL="0" distR="0" wp14:anchorId="17C001B5" wp14:editId="3C0E48A8">
            <wp:extent cx="5276850" cy="2828925"/>
            <wp:effectExtent l="0" t="0" r="0" b="0"/>
            <wp:docPr id="1" name="图片 1" descr="http://www.mkaq.org/UploadFiles/2019/12/201912060835463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kaq.org/UploadFiles/2019/12/201912060835463425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二、</w:t>
      </w:r>
      <w:hyperlink r:id="rId38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发生经过及救援情况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</w:t>
      </w:r>
      <w:hyperlink r:id="rId39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发生经过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2019年4月5日14时58分，由副队长陈忠雄组织召开中班班前会（队长马维阳当天休息），全队中班出勤51人。生产班风井二班（涉事</w:t>
      </w:r>
      <w:hyperlink r:id="rId40" w:tgtFrame="_blank" w:tooltip="煤矿班组建设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班组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）当班出勤16人，其中2人为地面信号把钩工（1人打信号，1人把钩），副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班长杨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明代替班长安排工作（班长孙坡林当班休息）。会议上，副队长陈忠雄针对火工品</w:t>
      </w:r>
      <w:hyperlink r:id="rId41" w:tgtFrame="_blank" w:tooltip="煤矿管理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管</w:t>
        </w:r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lastRenderedPageBreak/>
          <w:t>理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、运输设备</w:t>
      </w:r>
      <w:hyperlink r:id="rId42" w:tgtFrame="_blank" w:tooltip="煤矿管理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管理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和操作、工程质量管理、斜坡提升以及文明生产管理、</w:t>
      </w:r>
      <w:hyperlink r:id="rId43" w:tgtFrame="_blank" w:tooltip="煤矿安全网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注意事项进行了强调，并重点强调了各运输环节的</w:t>
      </w:r>
      <w:hyperlink r:id="rId44" w:tgtFrame="_blank" w:tooltip="煤矿安全网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注意事项，随后进行了工作安排。生产班风井二班负责施工两个工作面，其中班长1名，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扒斗机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司机1名，8人负责+775m回风石门工作面掘进作业， 4人负责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胶带机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上山工作面放炮作业。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副班长杨明对风井二班进行了详细分工，安排杨喜平（死者）在+775m回风石门工作面进行辅助打眼，张晓东负责操作电机车出渣，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韩嘉负责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拉挖掘机电缆，其他人员进行打眼、放炮等作业。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2019年4月5日19时许，杨喜平在完成+775m回风石门工作面辅助打眼任务后，到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巷口吃班中餐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时摔倒在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扳道器处的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轨道中，被运行中的电机车碾压。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2019年4月5日19时11分，电机车司机张晓东从+775m回风石门工作面迎头拉运3辆满载矸石的矿车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向渣坑方向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运行，行至距离道岔14m处撞到警戒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杆导致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电机车掉道。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瓦检员龙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平在填写完“一炮三检”牌板后也听到撞击声，立即向巷口方向跑去查看情况，发现电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机车掉道且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车底有人。立即要求电机车司机张晓东喊人组织救援。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</w:t>
      </w:r>
      <w:hyperlink r:id="rId45" w:tgtFrame="_blank" w:tooltip="煤矿应急救援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应急救援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情况、</w:t>
      </w:r>
      <w:hyperlink r:id="rId46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汇报情况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hyperlink r:id="rId47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发生后，电机车司机张晓东从+775m回风石门掘进工作面迎头喊来人员，将电机车与矿车分离，并抬来3根枕木和1根6米长、30公斤/米的钢轨，做了1个杠杆，将电机车尾部撬起，</w:t>
      </w: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高喜庆和王乃成等人将杨喜平从电机车底部拉出并抬到箕斗内，19时24分，将杨喜平运送至地面。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在施救的同时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瓦检员龙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平立即分别向开拓二队队部和矿调度室打电话进行汇报，矿调度室立即拨打宁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东医院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急救电话及宝丰能源矿山救护队值班电话，同时向值班矿领导和矿长进行了电话汇报。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4月5日20时32分，矿长刘世成向宁东应急指挥中心汇报</w:t>
      </w:r>
      <w:hyperlink r:id="rId48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情况。4月5日 22时15分，宁东管委会安监局向宁夏</w:t>
      </w:r>
      <w:hyperlink r:id="rId49" w:tgtFrame="_blank" w:tooltip="煤矿安全 煤矿安全网 中国煤矿安全生产网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煤矿安全</w:t>
        </w:r>
      </w:hyperlink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监察局银北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监察分局进行了电话汇报。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19时 24分伤者杨喜平被护送至地面，由120急救车送往宁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东医院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抢救。19时44分，杨喜平经宁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东医院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抢救无效死亡。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（三）善后工作情况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4月9日经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马莲台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煤矿与死者家属协商达成赔偿协议，当天下午家属将死者送回甘肃老家埋葬。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三、</w:t>
      </w:r>
      <w:hyperlink r:id="rId50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原因和类别、性质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（一）直接原因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杨喜平摔倒被电机车碾压致死。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（二）间接原因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1.死者杨喜平，未严格执行“行车不行人”的规定，是造成本次</w:t>
      </w:r>
      <w:hyperlink r:id="rId51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发生的间接原因之一。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2.电机车司机张晓东，未严格执行电机车司机</w:t>
      </w:r>
      <w:hyperlink r:id="rId52" w:tgtFrame="_blank" w:tooltip="煤矿安全网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hyperlink r:id="rId53" w:tgtFrame="_blank" w:tooltip="煤矿操作规程 安全规程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操作规程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中“在电机车运行过程中司机必须注视运行前方，发现有障碍物、</w:t>
      </w: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道心有人、或有紧急晃灯信号时必须立即停车”的规定，在电机车运行中未全程目视行驶方向，未能及时发现已经架设好的警戒杆及电机车前方轨道内有人，是</w:t>
      </w:r>
      <w:hyperlink r:id="rId54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发生的间接原因之二。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3.</w:t>
      </w:r>
      <w:hyperlink r:id="rId55" w:tgtFrame="_blank" w:tooltip="煤矿安全网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教育培训工作不到位。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马莲台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煤矿开拓二队虽然组织全区队人员学习培训了《+775m回风石门施工</w:t>
      </w:r>
      <w:hyperlink r:id="rId56" w:tgtFrame="_blank" w:tooltip="煤矿作业规程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作业规程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》，但培训效果差，职工</w:t>
      </w:r>
      <w:hyperlink r:id="rId57" w:tgtFrame="_blank" w:tooltip="煤矿安全网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意识淡薄，自保互保意识不强，是</w:t>
      </w:r>
      <w:hyperlink r:id="rId58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发生的间接原因之三。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4.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马莲台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煤矿</w:t>
      </w:r>
      <w:hyperlink r:id="rId59" w:tgtFrame="_blank" w:tooltip="煤矿安全管理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安全管理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不到位。煤矿对</w:t>
      </w:r>
      <w:hyperlink r:id="rId60" w:tgtFrame="_blank" w:tooltip="煤矿安全网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hyperlink r:id="rId61" w:tgtFrame="_blank" w:tooltip="煤矿安全管理制度 煤矿制度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管理制度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、岗位</w:t>
      </w:r>
      <w:hyperlink r:id="rId62" w:tgtFrame="_blank" w:tooltip="煤矿安全网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生产责任制、</w:t>
      </w:r>
      <w:hyperlink r:id="rId63" w:tgtFrame="_blank" w:tooltip="煤矿作业规程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作业规程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hyperlink r:id="rId64" w:tgtFrame="_blank" w:tooltip="煤矿操作规程 安全规程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操作规程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的贯彻落实监督不到位，现场未能及时发现职工的习惯性违章作业和违章操作行为，是</w:t>
      </w:r>
      <w:hyperlink r:id="rId65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发生的间接原因之四。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5. 矿领导带班入井</w:t>
      </w:r>
      <w:hyperlink r:id="rId66" w:tgtFrame="_blank" w:tooltip="煤矿管理制度 煤矿安全制度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制度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落实不到位。目前矿井一二采区为生产区域，三四采区为建设区域，生产区域与建设区域尚未联通，煤矿每班只安排一名矿领导下井带班，无法落实矿领导带班职责，是</w:t>
      </w:r>
      <w:hyperlink r:id="rId67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发生的间接原因之五。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</w:t>
      </w:r>
      <w:hyperlink r:id="rId68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类别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宁夏宝丰能源有限公司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马莲台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煤矿“4·5”</w:t>
      </w:r>
      <w:hyperlink r:id="rId69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类别为运输</w:t>
      </w:r>
      <w:hyperlink r:id="rId70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（四）</w:t>
      </w:r>
      <w:hyperlink r:id="rId71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性质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宁夏宝丰能源有限公司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马莲台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煤矿“4·5”运输</w:t>
      </w:r>
      <w:hyperlink r:id="rId72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是一起</w:t>
      </w:r>
      <w:hyperlink r:id="rId73" w:tgtFrame="_blank" w:tooltip="煤矿安全网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生产责任</w:t>
      </w:r>
      <w:hyperlink r:id="rId74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四、对</w:t>
      </w:r>
      <w:hyperlink r:id="rId75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有关责任人员及责任单位的处理建议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（一）对</w:t>
      </w:r>
      <w:hyperlink r:id="rId76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有关责任人的责任认定及处理建议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1.杨喜平，当班工人，死者。违章作业未严格执行“行车不行人”的规定，摔倒后被行驶中的电机车碾压致死，对</w:t>
      </w:r>
      <w:hyperlink r:id="rId77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的发生负直接责任。鉴于其本人已在</w:t>
      </w:r>
      <w:hyperlink r:id="rId78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中死亡，建议免于处罚。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2.张晓东，当班电机车司机，未严格执行电机车司机</w:t>
      </w:r>
      <w:hyperlink r:id="rId79" w:tgtFrame="_blank" w:tooltip="煤矿安全网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hyperlink r:id="rId80" w:tgtFrame="_blank" w:tooltip="煤矿操作规程 安全规程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操作规程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“在电机车运行过程中司机必须注视运行前方，发现有障碍物、道心有人、或有紧急晃灯信号时必须立即停车”的规定，在电机车运行中未全程目视行驶方向，未能及时发现已经架设好的警戒杆及电机车前方轨道内有人，违反电机车司机</w:t>
      </w:r>
      <w:hyperlink r:id="rId81" w:tgtFrame="_blank" w:tooltip="煤矿安全网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hyperlink r:id="rId82" w:tgtFrame="_blank" w:tooltip="煤矿操作规程 安全规程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操作规程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，对</w:t>
      </w:r>
      <w:hyperlink r:id="rId83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的发生负有责任。根据《</w:t>
      </w:r>
      <w:hyperlink r:id="rId84" w:tgtFrame="_blank" w:tooltip="煤矿安全网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生产违法行为行政处罚办法》第四十五条第（一）项的规定，建议给予警告，并处5000元的行政罚款。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3.杨明，当班副班长，负责协助班长开展+775m回风石门掘进工作面打眼、放炮工作，班长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不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在岗时，代为履行班长职责。</w:t>
      </w:r>
      <w:hyperlink r:id="rId85" w:tgtFrame="_blank" w:tooltip="煤矿安全网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责任和职责落实不到位，对该起</w:t>
      </w:r>
      <w:hyperlink r:id="rId86" w:tgtFrame="_blank" w:tooltip="事故管理 煤矿事故" w:history="1">
        <w:r w:rsidRPr="008A63D8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的发生负</w:t>
      </w: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安全生产现场管理责任。根据《安全生产违法行为行政处罚办法》第四十五条第（一）项的规定，建议给予警告，并处5000元的行政罚款。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.陈忠雄，开拓二队副队长，负责主持掘进、开拓现场安全、技术工作。当班履行队长职责，安全责任和职责落实不到位，对该起事故的发生负安全生产管理责任，根据《安全生产违法行为行政处罚办法》第四十五条第（一）项的规定，建议给予警告，并处5000元的行政罚款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.陈丹阳，开拓二队副队长，负责协助队长主抓掘进、机电设备管理、安全管理，组织落实风险辨识评估、危险源辨识及隐患排查治理工作。对该起事故的发生负安全生产管理责任。根据《安全生产违法行为行政处罚办法》第四十五条第（一）项的规定，建议给予警告，并处5000元的行政罚款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.马维阳，开拓二队队长。负责开拓二队掘进、开拓、安全管理全面工作，组织制定、完善本区队岗位职责、工作标准、工作流程、绩效考核办法，并组织实施。作业规程培训、安全管理、监督检查作业规程执行和落实情况不到位，对该起事故的发生负安全生产管理责任。决定由企业参照《安全生产领域违法违纪行为政纪处分暂行规定》第十二条的规定，给予马维阳撤职的行政处分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7.王占国，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马莲台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矿副矿长，在矿长的领导下，全面负责三四采区的基本建设工作。对该起事故的发生负领导责任。根据《安全生产违法行为行政处罚办法》第四十五条第（一）项的规定，建议给予警告，并处9000元的行政罚款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8.常润军，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马莲台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煤矿安全总监（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安全副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矿长），在矿长的领导下，全面负责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马莲台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煤矿的生产建设安全管理工作。对事故</w:t>
      </w: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的发生负领导责任。根据《安全生产违法行为行政处罚办法》第四十五条第（一）项的规定，建议给予警告，并处8000元的行政处罚。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9.刘世成，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马莲台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煤矿矿长，负责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马莲台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矿全面工作，对矿领导带班入井工作组织落实不到位，对事故的发生负主要领导责任。根据《中华人民共和国安全生产法》第九十一条的规定，决定给予刘世成撤职处分，自受处分之日起，五年内不得担任任何生产经营单位的主要负责人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对事故中其他相关责任人员，建议由宁夏宝丰能源有限公司依据企业内部的规定进行处理，并将处理结果报送宁夏煤矿安全监察局银北监察分局。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（二）对事故单位的责任认定及处理建议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马莲台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煤矿作为事故直接责任单位，未全面落实安全生产主体责任，导致发生一起死亡1人的责任事故。依据《中华人民共和国安全生产法》第一百零九条第（一）项的规定，建议给予宁夏宝丰能源有限公司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马莲台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煤矿350000元的行政处罚。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五、事故防范措施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宁夏宝丰能源有限公司和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马莲台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煤矿要深刻反思，切实吸取“4·5”事故教训，针对本次事故暴露出的问题和管理、培训上的漏洞，举一反三，全面排查所属煤矿安全生产工作存在的漏洞和不足，落实以下防范措施：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全面落实企业安全生产主体责任。对现有安全管理制度、安全生产责任制、岗位职责和安全技术措施进一步梳理、修改、完善。加强安全管理和监督检查，将各项制度、各岗位职责、安全生产责任落实到位，规范管理人员和各岗位职工的行为，杜绝“三违”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（二）认真开展安全生产标准化体系建设。将煤矿风险分级管控、隐患排查治理、安全质量达标“三位一体”的工作体系进一步贯彻落实到位。准确分析把握</w:t>
      </w: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马莲台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矿特别是三四采区安全生产特点，按照《煤矿安全规程》规定尽快实现机械方式运送人员上下井，加强源头控制，坚持风险预控管控前移，实现把风险控制在隐患形成之前、把隐患消灭在事故发生之前，有效遏制事故发生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（三）加强安全培训，提高职工安全意识。严格执行国家关于煤矿安全培训方面的有关规定，加强安全培训工作的监督、考</w:t>
      </w: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核和管理，提高员工风险辨识能力并熟知相应的安全技术措施和规程，使培训工作取得实效。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（四）加强现场安全管理。针对三四采区安全管理现状，配足配齐安全生产管理人员，切实发挥好各级安全管理人员对现场的监督管理作用，对重点工作重点区域要做到安全管理责任落实到位。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（五）加强警示教育。针对本次事故要制作警示教育片，全员开展事故警示教育，增强员工的安全意识和事故防范能力，用事故教训推动煤矿安全生产工作。</w:t>
      </w:r>
    </w:p>
    <w:p w:rsidR="008A63D8" w:rsidRPr="008A63D8" w:rsidRDefault="008A63D8" w:rsidP="008A63D8">
      <w:pPr>
        <w:widowControl/>
        <w:shd w:val="clear" w:color="auto" w:fill="FFFFFF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8A63D8" w:rsidRPr="008A63D8" w:rsidRDefault="008A63D8" w:rsidP="006263EB">
      <w:pPr>
        <w:widowControl/>
        <w:shd w:val="clear" w:color="auto" w:fill="FFFFFF"/>
        <w:ind w:firstLine="480"/>
        <w:jc w:val="righ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马莲台</w:t>
      </w:r>
      <w:proofErr w:type="gramEnd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煤矿“4·5” 运输事故调查组</w:t>
      </w:r>
    </w:p>
    <w:p w:rsidR="008A63D8" w:rsidRPr="008A63D8" w:rsidRDefault="008A63D8" w:rsidP="006263EB">
      <w:pPr>
        <w:widowControl/>
        <w:shd w:val="clear" w:color="auto" w:fill="FFFFFF"/>
        <w:ind w:firstLine="48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8A63D8" w:rsidRPr="008A63D8" w:rsidRDefault="008A63D8" w:rsidP="006263EB">
      <w:pPr>
        <w:widowControl/>
        <w:shd w:val="clear" w:color="auto" w:fill="FFFFFF"/>
        <w:ind w:firstLine="480"/>
        <w:jc w:val="righ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bookmarkStart w:id="0" w:name="_GoBack"/>
      <w:bookmarkEnd w:id="0"/>
      <w:r w:rsidRPr="008A63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2019年4月17日</w:t>
      </w:r>
    </w:p>
    <w:p w:rsidR="008A63D8" w:rsidRPr="008A63D8" w:rsidRDefault="008A63D8">
      <w:pPr>
        <w:rPr>
          <w:rFonts w:ascii="仿宋" w:eastAsia="仿宋" w:hAnsi="仿宋"/>
          <w:sz w:val="30"/>
          <w:szCs w:val="30"/>
        </w:rPr>
      </w:pPr>
    </w:p>
    <w:sectPr w:rsidR="008A63D8" w:rsidRPr="008A6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D4"/>
    <w:rsid w:val="000826D4"/>
    <w:rsid w:val="006263EB"/>
    <w:rsid w:val="00646CDB"/>
    <w:rsid w:val="008A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3D8"/>
    <w:rPr>
      <w:b/>
      <w:bCs/>
    </w:rPr>
  </w:style>
  <w:style w:type="paragraph" w:styleId="a4">
    <w:name w:val="Normal (Web)"/>
    <w:basedOn w:val="a"/>
    <w:uiPriority w:val="99"/>
    <w:semiHidden/>
    <w:unhideWhenUsed/>
    <w:rsid w:val="008A63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A63D8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A63D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A63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3D8"/>
    <w:rPr>
      <w:b/>
      <w:bCs/>
    </w:rPr>
  </w:style>
  <w:style w:type="paragraph" w:styleId="a4">
    <w:name w:val="Normal (Web)"/>
    <w:basedOn w:val="a"/>
    <w:uiPriority w:val="99"/>
    <w:semiHidden/>
    <w:unhideWhenUsed/>
    <w:rsid w:val="008A63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A63D8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A63D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A6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kaq.org/sggl/" TargetMode="External"/><Relationship Id="rId18" Type="http://schemas.openxmlformats.org/officeDocument/2006/relationships/hyperlink" Target="http://www.mkaq.org/sggl/" TargetMode="External"/><Relationship Id="rId26" Type="http://schemas.openxmlformats.org/officeDocument/2006/relationships/hyperlink" Target="http://www.mkaq.org/ytsf/" TargetMode="External"/><Relationship Id="rId39" Type="http://schemas.openxmlformats.org/officeDocument/2006/relationships/hyperlink" Target="http://www.mkaq.org/sggl/" TargetMode="External"/><Relationship Id="rId21" Type="http://schemas.openxmlformats.org/officeDocument/2006/relationships/hyperlink" Target="http://www.mkaq.org/sggl/" TargetMode="External"/><Relationship Id="rId34" Type="http://schemas.openxmlformats.org/officeDocument/2006/relationships/image" Target="media/image1.png"/><Relationship Id="rId42" Type="http://schemas.openxmlformats.org/officeDocument/2006/relationships/hyperlink" Target="http://www.mkaq.org/mkgl/" TargetMode="External"/><Relationship Id="rId47" Type="http://schemas.openxmlformats.org/officeDocument/2006/relationships/hyperlink" Target="http://www.mkaq.org/sggl/" TargetMode="External"/><Relationship Id="rId50" Type="http://schemas.openxmlformats.org/officeDocument/2006/relationships/hyperlink" Target="http://www.mkaq.org/sggl/" TargetMode="External"/><Relationship Id="rId55" Type="http://schemas.openxmlformats.org/officeDocument/2006/relationships/hyperlink" Target="http://www.mkaq.org/" TargetMode="External"/><Relationship Id="rId63" Type="http://schemas.openxmlformats.org/officeDocument/2006/relationships/hyperlink" Target="http://www.mkaq.org/zygc/" TargetMode="External"/><Relationship Id="rId68" Type="http://schemas.openxmlformats.org/officeDocument/2006/relationships/hyperlink" Target="http://www.mkaq.org/sggl/" TargetMode="External"/><Relationship Id="rId76" Type="http://schemas.openxmlformats.org/officeDocument/2006/relationships/hyperlink" Target="http://www.mkaq.org/sggl/" TargetMode="External"/><Relationship Id="rId84" Type="http://schemas.openxmlformats.org/officeDocument/2006/relationships/hyperlink" Target="http://www.mkaq.org/" TargetMode="External"/><Relationship Id="rId7" Type="http://schemas.openxmlformats.org/officeDocument/2006/relationships/hyperlink" Target="http://www.mkaq.org/" TargetMode="External"/><Relationship Id="rId71" Type="http://schemas.openxmlformats.org/officeDocument/2006/relationships/hyperlink" Target="http://www.mkaq.org/sggl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kaq.org/sggl/" TargetMode="External"/><Relationship Id="rId29" Type="http://schemas.openxmlformats.org/officeDocument/2006/relationships/hyperlink" Target="http://www.mkaq.org/wdyy/gzjh/" TargetMode="External"/><Relationship Id="rId11" Type="http://schemas.openxmlformats.org/officeDocument/2006/relationships/hyperlink" Target="http://www.mkaq.org/fgbz/" TargetMode="External"/><Relationship Id="rId24" Type="http://schemas.openxmlformats.org/officeDocument/2006/relationships/hyperlink" Target="http://www.mkaq.org/mkgl/" TargetMode="External"/><Relationship Id="rId32" Type="http://schemas.openxmlformats.org/officeDocument/2006/relationships/hyperlink" Target="http://www.mkaq.org/sggl/" TargetMode="External"/><Relationship Id="rId37" Type="http://schemas.openxmlformats.org/officeDocument/2006/relationships/image" Target="media/image3.png"/><Relationship Id="rId40" Type="http://schemas.openxmlformats.org/officeDocument/2006/relationships/hyperlink" Target="http://www.mkaq.org/mkgl/bzjs/" TargetMode="External"/><Relationship Id="rId45" Type="http://schemas.openxmlformats.org/officeDocument/2006/relationships/hyperlink" Target="http://www.mkaq.org/yjjy/" TargetMode="External"/><Relationship Id="rId53" Type="http://schemas.openxmlformats.org/officeDocument/2006/relationships/hyperlink" Target="http://www.mkaq.org/czgc/" TargetMode="External"/><Relationship Id="rId58" Type="http://schemas.openxmlformats.org/officeDocument/2006/relationships/hyperlink" Target="http://www.mkaq.org/sggl/" TargetMode="External"/><Relationship Id="rId66" Type="http://schemas.openxmlformats.org/officeDocument/2006/relationships/hyperlink" Target="http://www.mkaq.org/mkgl/" TargetMode="External"/><Relationship Id="rId74" Type="http://schemas.openxmlformats.org/officeDocument/2006/relationships/hyperlink" Target="http://www.mkaq.org/sggl/" TargetMode="External"/><Relationship Id="rId79" Type="http://schemas.openxmlformats.org/officeDocument/2006/relationships/hyperlink" Target="http://www.mkaq.org/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www.mkaq.org/sggl/" TargetMode="External"/><Relationship Id="rId61" Type="http://schemas.openxmlformats.org/officeDocument/2006/relationships/hyperlink" Target="http://www.mkaq.org/mkgl/glzd/" TargetMode="External"/><Relationship Id="rId82" Type="http://schemas.openxmlformats.org/officeDocument/2006/relationships/hyperlink" Target="http://www.mkaq.org/czgc/" TargetMode="External"/><Relationship Id="rId19" Type="http://schemas.openxmlformats.org/officeDocument/2006/relationships/hyperlink" Target="http://www.mkaq.org/sgg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kaq.org/sggl/" TargetMode="External"/><Relationship Id="rId14" Type="http://schemas.openxmlformats.org/officeDocument/2006/relationships/hyperlink" Target="http://www.mkaq.org/sggl/" TargetMode="External"/><Relationship Id="rId22" Type="http://schemas.openxmlformats.org/officeDocument/2006/relationships/hyperlink" Target="http://www.mkaq.org/" TargetMode="External"/><Relationship Id="rId27" Type="http://schemas.openxmlformats.org/officeDocument/2006/relationships/hyperlink" Target="http://www.mkaq.org/sjsm/" TargetMode="External"/><Relationship Id="rId30" Type="http://schemas.openxmlformats.org/officeDocument/2006/relationships/hyperlink" Target="http://www.mkaq.org/sggl/" TargetMode="External"/><Relationship Id="rId35" Type="http://schemas.openxmlformats.org/officeDocument/2006/relationships/hyperlink" Target="http://www.mkaq.org/sggl/" TargetMode="External"/><Relationship Id="rId43" Type="http://schemas.openxmlformats.org/officeDocument/2006/relationships/hyperlink" Target="http://www.mkaq.org/" TargetMode="External"/><Relationship Id="rId48" Type="http://schemas.openxmlformats.org/officeDocument/2006/relationships/hyperlink" Target="http://www.mkaq.org/sggl/" TargetMode="External"/><Relationship Id="rId56" Type="http://schemas.openxmlformats.org/officeDocument/2006/relationships/hyperlink" Target="http://www.mkaq.org/zygc/" TargetMode="External"/><Relationship Id="rId64" Type="http://schemas.openxmlformats.org/officeDocument/2006/relationships/hyperlink" Target="http://www.mkaq.org/czgc/" TargetMode="External"/><Relationship Id="rId69" Type="http://schemas.openxmlformats.org/officeDocument/2006/relationships/hyperlink" Target="http://www.mkaq.org/sggl/" TargetMode="External"/><Relationship Id="rId77" Type="http://schemas.openxmlformats.org/officeDocument/2006/relationships/hyperlink" Target="http://www.mkaq.org/sggl/" TargetMode="External"/><Relationship Id="rId8" Type="http://schemas.openxmlformats.org/officeDocument/2006/relationships/hyperlink" Target="http://www.mkaq.org/" TargetMode="External"/><Relationship Id="rId51" Type="http://schemas.openxmlformats.org/officeDocument/2006/relationships/hyperlink" Target="http://www.mkaq.org/sggl/" TargetMode="External"/><Relationship Id="rId72" Type="http://schemas.openxmlformats.org/officeDocument/2006/relationships/hyperlink" Target="http://www.mkaq.org/sggl/" TargetMode="External"/><Relationship Id="rId80" Type="http://schemas.openxmlformats.org/officeDocument/2006/relationships/hyperlink" Target="http://www.mkaq.org/czgc/" TargetMode="External"/><Relationship Id="rId85" Type="http://schemas.openxmlformats.org/officeDocument/2006/relationships/hyperlink" Target="http://www.mkaq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kaq.org/" TargetMode="External"/><Relationship Id="rId17" Type="http://schemas.openxmlformats.org/officeDocument/2006/relationships/hyperlink" Target="http://www.mkaq.org/sggl/" TargetMode="External"/><Relationship Id="rId25" Type="http://schemas.openxmlformats.org/officeDocument/2006/relationships/hyperlink" Target="http://www.mkaq.org/sjsm/" TargetMode="External"/><Relationship Id="rId33" Type="http://schemas.openxmlformats.org/officeDocument/2006/relationships/hyperlink" Target="http://www.mkaq.org/sggl/" TargetMode="External"/><Relationship Id="rId38" Type="http://schemas.openxmlformats.org/officeDocument/2006/relationships/hyperlink" Target="http://www.mkaq.org/sggl/" TargetMode="External"/><Relationship Id="rId46" Type="http://schemas.openxmlformats.org/officeDocument/2006/relationships/hyperlink" Target="http://www.mkaq.org/sggl/" TargetMode="External"/><Relationship Id="rId59" Type="http://schemas.openxmlformats.org/officeDocument/2006/relationships/hyperlink" Target="http://www.mkaq.org/mkgl/" TargetMode="External"/><Relationship Id="rId67" Type="http://schemas.openxmlformats.org/officeDocument/2006/relationships/hyperlink" Target="http://www.mkaq.org/sggl/" TargetMode="External"/><Relationship Id="rId20" Type="http://schemas.openxmlformats.org/officeDocument/2006/relationships/hyperlink" Target="http://www.mkaq.org/jscs/" TargetMode="External"/><Relationship Id="rId41" Type="http://schemas.openxmlformats.org/officeDocument/2006/relationships/hyperlink" Target="http://www.mkaq.org/mkgl/" TargetMode="External"/><Relationship Id="rId54" Type="http://schemas.openxmlformats.org/officeDocument/2006/relationships/hyperlink" Target="http://www.mkaq.org/sggl/" TargetMode="External"/><Relationship Id="rId62" Type="http://schemas.openxmlformats.org/officeDocument/2006/relationships/hyperlink" Target="http://www.mkaq.org/" TargetMode="External"/><Relationship Id="rId70" Type="http://schemas.openxmlformats.org/officeDocument/2006/relationships/hyperlink" Target="http://www.mkaq.org/sggl/" TargetMode="External"/><Relationship Id="rId75" Type="http://schemas.openxmlformats.org/officeDocument/2006/relationships/hyperlink" Target="http://www.mkaq.org/sggl/" TargetMode="External"/><Relationship Id="rId83" Type="http://schemas.openxmlformats.org/officeDocument/2006/relationships/hyperlink" Target="http://www.mkaq.org/sggl/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kaq.org/" TargetMode="External"/><Relationship Id="rId15" Type="http://schemas.openxmlformats.org/officeDocument/2006/relationships/hyperlink" Target="http://www.mkaq.org/sggl/" TargetMode="External"/><Relationship Id="rId23" Type="http://schemas.openxmlformats.org/officeDocument/2006/relationships/hyperlink" Target="http://www.mkaq.org/" TargetMode="External"/><Relationship Id="rId28" Type="http://schemas.openxmlformats.org/officeDocument/2006/relationships/hyperlink" Target="http://www.mkaq.org/ytsf/" TargetMode="External"/><Relationship Id="rId36" Type="http://schemas.openxmlformats.org/officeDocument/2006/relationships/image" Target="media/image2.png"/><Relationship Id="rId49" Type="http://schemas.openxmlformats.org/officeDocument/2006/relationships/hyperlink" Target="http://www.mkaq.org/" TargetMode="External"/><Relationship Id="rId57" Type="http://schemas.openxmlformats.org/officeDocument/2006/relationships/hyperlink" Target="http://www.mkaq.org/" TargetMode="External"/><Relationship Id="rId10" Type="http://schemas.openxmlformats.org/officeDocument/2006/relationships/hyperlink" Target="http://www.mkaq.org/fgbz/" TargetMode="External"/><Relationship Id="rId31" Type="http://schemas.openxmlformats.org/officeDocument/2006/relationships/hyperlink" Target="http://www.mkaq.org/sggl/" TargetMode="External"/><Relationship Id="rId44" Type="http://schemas.openxmlformats.org/officeDocument/2006/relationships/hyperlink" Target="http://www.mkaq.org/" TargetMode="External"/><Relationship Id="rId52" Type="http://schemas.openxmlformats.org/officeDocument/2006/relationships/hyperlink" Target="http://www.mkaq.org/" TargetMode="External"/><Relationship Id="rId60" Type="http://schemas.openxmlformats.org/officeDocument/2006/relationships/hyperlink" Target="http://www.mkaq.org/" TargetMode="External"/><Relationship Id="rId65" Type="http://schemas.openxmlformats.org/officeDocument/2006/relationships/hyperlink" Target="http://www.mkaq.org/sggl/" TargetMode="External"/><Relationship Id="rId73" Type="http://schemas.openxmlformats.org/officeDocument/2006/relationships/hyperlink" Target="http://www.mkaq.org/" TargetMode="External"/><Relationship Id="rId78" Type="http://schemas.openxmlformats.org/officeDocument/2006/relationships/hyperlink" Target="http://www.mkaq.org/sggl/" TargetMode="External"/><Relationship Id="rId81" Type="http://schemas.openxmlformats.org/officeDocument/2006/relationships/hyperlink" Target="http://www.mkaq.org/" TargetMode="External"/><Relationship Id="rId86" Type="http://schemas.openxmlformats.org/officeDocument/2006/relationships/hyperlink" Target="http://www.mkaq.org/sggl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1673</Words>
  <Characters>9540</Characters>
  <Application>Microsoft Office Word</Application>
  <DocSecurity>0</DocSecurity>
  <Lines>79</Lines>
  <Paragraphs>22</Paragraphs>
  <ScaleCrop>false</ScaleCrop>
  <Company>微软中国</Company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3</cp:revision>
  <dcterms:created xsi:type="dcterms:W3CDTF">2021-03-19T06:52:00Z</dcterms:created>
  <dcterms:modified xsi:type="dcterms:W3CDTF">2021-03-19T06:54:00Z</dcterms:modified>
</cp:coreProperties>
</file>