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7D7" w:rsidRPr="00D567D7" w:rsidRDefault="00D567D7" w:rsidP="00D567D7">
      <w:pPr>
        <w:widowControl/>
        <w:spacing w:after="900" w:line="630" w:lineRule="atLeast"/>
        <w:jc w:val="center"/>
        <w:outlineLvl w:val="1"/>
        <w:rPr>
          <w:rFonts w:ascii="仿宋" w:eastAsia="仿宋" w:hAnsi="仿宋" w:cs="宋体"/>
          <w:b/>
          <w:bCs/>
          <w:color w:val="000000"/>
          <w:kern w:val="0"/>
          <w:sz w:val="30"/>
          <w:szCs w:val="30"/>
        </w:rPr>
      </w:pPr>
      <w:r w:rsidRPr="00D567D7">
        <w:rPr>
          <w:rFonts w:ascii="仿宋" w:eastAsia="仿宋" w:hAnsi="仿宋" w:cs="宋体" w:hint="eastAsia"/>
          <w:b/>
          <w:bCs/>
          <w:color w:val="000000"/>
          <w:kern w:val="0"/>
          <w:sz w:val="30"/>
          <w:szCs w:val="30"/>
        </w:rPr>
        <w:t>南京新</w:t>
      </w:r>
      <w:proofErr w:type="gramStart"/>
      <w:r w:rsidRPr="00D567D7">
        <w:rPr>
          <w:rFonts w:ascii="仿宋" w:eastAsia="仿宋" w:hAnsi="仿宋" w:cs="宋体" w:hint="eastAsia"/>
          <w:b/>
          <w:bCs/>
          <w:color w:val="000000"/>
          <w:kern w:val="0"/>
          <w:sz w:val="30"/>
          <w:szCs w:val="30"/>
        </w:rPr>
        <w:t>街口金</w:t>
      </w:r>
      <w:proofErr w:type="gramEnd"/>
      <w:r w:rsidRPr="00D567D7">
        <w:rPr>
          <w:rFonts w:ascii="仿宋" w:eastAsia="仿宋" w:hAnsi="仿宋" w:cs="宋体" w:hint="eastAsia"/>
          <w:b/>
          <w:bCs/>
          <w:color w:val="000000"/>
          <w:kern w:val="0"/>
          <w:sz w:val="30"/>
          <w:szCs w:val="30"/>
        </w:rPr>
        <w:t>鹰A</w:t>
      </w:r>
      <w:proofErr w:type="gramStart"/>
      <w:r w:rsidRPr="00D567D7">
        <w:rPr>
          <w:rFonts w:ascii="仿宋" w:eastAsia="仿宋" w:hAnsi="仿宋" w:cs="宋体" w:hint="eastAsia"/>
          <w:b/>
          <w:bCs/>
          <w:color w:val="000000"/>
          <w:kern w:val="0"/>
          <w:sz w:val="30"/>
          <w:szCs w:val="30"/>
        </w:rPr>
        <w:t>座机电改造</w:t>
      </w:r>
      <w:proofErr w:type="gramEnd"/>
      <w:r w:rsidRPr="00D567D7">
        <w:rPr>
          <w:rFonts w:ascii="仿宋" w:eastAsia="仿宋" w:hAnsi="仿宋" w:cs="宋体" w:hint="eastAsia"/>
          <w:b/>
          <w:bCs/>
          <w:color w:val="000000"/>
          <w:kern w:val="0"/>
          <w:sz w:val="30"/>
          <w:szCs w:val="30"/>
        </w:rPr>
        <w:t>工程“5·24”火灾事故调查报告</w:t>
      </w:r>
    </w:p>
    <w:p w:rsidR="00B13453" w:rsidRDefault="00D567D7" w:rsidP="00D567D7">
      <w:pPr>
        <w:ind w:firstLineChars="200" w:firstLine="600"/>
        <w:rPr>
          <w:rFonts w:ascii="仿宋" w:eastAsia="仿宋" w:hAnsi="仿宋" w:hint="eastAsia"/>
          <w:color w:val="111111"/>
          <w:sz w:val="30"/>
          <w:szCs w:val="30"/>
        </w:rPr>
      </w:pPr>
      <w:r w:rsidRPr="00D567D7">
        <w:rPr>
          <w:rFonts w:ascii="仿宋" w:eastAsia="仿宋" w:hAnsi="仿宋" w:hint="eastAsia"/>
          <w:color w:val="111111"/>
          <w:sz w:val="30"/>
          <w:szCs w:val="30"/>
        </w:rPr>
        <w:t>2019年5月24日20时50分左右，在位于秦淮区汉中路金鹰A座9层露台西侧厨房净化设备拆除工程施工现场，施工人员在使用等离子切割机拆除油烟净化设备作业中，切割产生的火花引燃油烟净化设备内部的油垢，引发火灾。大火扩大蔓延至主楼西北侧的外墙装饰材料燃烧，过火面积约260m</w:t>
      </w:r>
      <w:r w:rsidRPr="00D567D7">
        <w:rPr>
          <w:rFonts w:ascii="仿宋" w:eastAsia="仿宋" w:hAnsi="仿宋" w:hint="eastAsia"/>
          <w:color w:val="111111"/>
          <w:sz w:val="30"/>
          <w:szCs w:val="30"/>
          <w:vertAlign w:val="superscript"/>
        </w:rPr>
        <w:t>2</w:t>
      </w:r>
      <w:r w:rsidRPr="00D567D7">
        <w:rPr>
          <w:rFonts w:ascii="仿宋" w:eastAsia="仿宋" w:hAnsi="仿宋" w:hint="eastAsia"/>
          <w:color w:val="111111"/>
          <w:sz w:val="30"/>
          <w:szCs w:val="30"/>
        </w:rPr>
        <w:t>。这起事故未造成人员伤亡，但社会影响恶劣，金</w:t>
      </w:r>
      <w:proofErr w:type="gramStart"/>
      <w:r w:rsidRPr="00D567D7">
        <w:rPr>
          <w:rFonts w:ascii="仿宋" w:eastAsia="仿宋" w:hAnsi="仿宋" w:hint="eastAsia"/>
          <w:color w:val="111111"/>
          <w:sz w:val="30"/>
          <w:szCs w:val="30"/>
        </w:rPr>
        <w:t>鹰中心</w:t>
      </w:r>
      <w:proofErr w:type="gramEnd"/>
      <w:r w:rsidRPr="00D567D7">
        <w:rPr>
          <w:rFonts w:ascii="仿宋" w:eastAsia="仿宋" w:hAnsi="仿宋" w:hint="eastAsia"/>
          <w:color w:val="111111"/>
          <w:sz w:val="30"/>
          <w:szCs w:val="30"/>
        </w:rPr>
        <w:t>A座西北侧外立面及内部办公区域、购物中心部分受损，南京工商银行新街口支行一间库房过火受损。</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依据《安全生产法》、《生产安全事故报告和调查处理条例》（国务院493号令）、《南京市生产安全事故报告和调查处理规定》（市政府令第268号）的有关规定，受南京市人民政府委托，由市应急管理局牵头组织市公安局、市消防局、市监察委、市建委、市规划资源局等有关部门成立了“5·24”火灾事故调查组，按照“科学严谨、依法依规、实事求是、注重实效”和“四不放过”的原则，共同展开事故调查。现将调查处理结果予以公布：</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Pr>
          <w:rFonts w:ascii="宋体" w:eastAsia="宋体" w:hAnsi="宋体" w:cs="宋体" w:hint="eastAsia"/>
          <w:color w:val="111111"/>
          <w:sz w:val="30"/>
          <w:szCs w:val="30"/>
        </w:rPr>
        <w:t xml:space="preserve"> </w:t>
      </w:r>
      <w:r w:rsidRPr="00D567D7">
        <w:rPr>
          <w:rFonts w:ascii="仿宋" w:eastAsia="仿宋" w:hAnsi="仿宋" w:hint="eastAsia"/>
          <w:color w:val="111111"/>
          <w:sz w:val="30"/>
          <w:szCs w:val="30"/>
        </w:rPr>
        <w:t>一、事故性质和事故责任认定</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Pr>
          <w:rFonts w:ascii="宋体" w:eastAsia="宋体" w:hAnsi="宋体" w:cs="宋体" w:hint="eastAsia"/>
          <w:color w:val="111111"/>
          <w:sz w:val="30"/>
          <w:szCs w:val="30"/>
        </w:rPr>
        <w:t xml:space="preserve">  </w:t>
      </w:r>
      <w:r w:rsidRPr="00D567D7">
        <w:rPr>
          <w:rFonts w:ascii="仿宋" w:eastAsia="仿宋" w:hAnsi="仿宋" w:hint="eastAsia"/>
          <w:color w:val="111111"/>
          <w:sz w:val="30"/>
          <w:szCs w:val="30"/>
        </w:rPr>
        <w:t>1.这是一起因工程建设单位施工手续不完善、防火检查制度落实不严、施工单位安全生产主体责任落实不到位、动火作业安全措施不落实、现场工人违章作业而造成的火灾事故，是一起社会影响恶劣的一般生产安全责任事故。</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lastRenderedPageBreak/>
        <w:t>  </w:t>
      </w:r>
      <w:r w:rsidRPr="00D567D7">
        <w:rPr>
          <w:rFonts w:ascii="仿宋" w:eastAsia="仿宋" w:hAnsi="仿宋" w:hint="eastAsia"/>
          <w:color w:val="111111"/>
          <w:sz w:val="30"/>
          <w:szCs w:val="30"/>
        </w:rPr>
        <w:t>2.茂荣集团对这起事故的发生负有主要责任，南京金鹰集团对这起事故的发生负有责任。</w:t>
      </w:r>
      <w:r w:rsidRPr="00D567D7">
        <w:rPr>
          <w:rFonts w:ascii="仿宋" w:eastAsia="仿宋" w:hAnsi="仿宋" w:hint="eastAsia"/>
          <w:color w:val="111111"/>
          <w:sz w:val="30"/>
          <w:szCs w:val="30"/>
        </w:rPr>
        <w:br/>
      </w:r>
      <w:r>
        <w:rPr>
          <w:rFonts w:ascii="宋体" w:eastAsia="宋体" w:hAnsi="宋体" w:cs="宋体" w:hint="eastAsia"/>
          <w:color w:val="111111"/>
          <w:sz w:val="30"/>
          <w:szCs w:val="30"/>
        </w:rPr>
        <w:t xml:space="preserve">  </w:t>
      </w:r>
      <w:r w:rsidRPr="00D567D7">
        <w:rPr>
          <w:rFonts w:ascii="仿宋" w:eastAsia="仿宋" w:hAnsi="仿宋" w:hint="eastAsia"/>
          <w:color w:val="111111"/>
          <w:sz w:val="30"/>
          <w:szCs w:val="30"/>
        </w:rPr>
        <w:t>二、事故的处理建议</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依据事故原因调查和事故责任认定，依据有关法律法规，对事故有关责任人和责任单位提出以下处理建议：</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（一）公安机关对涉嫌犯罪的相关责任人依法调查处理。</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（二）市应急管理局依法给予茂荣集团、南京金鹰集团行政处罚。</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（三）消防部门对茂荣集团未进行施工现场消防安全检查、未落实动火作业防火措施等问题依法调查处理。</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（四）建设行政主管部门对南京金鹰A座建设项目手续不完善的问题依法调查处理。</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（五）市规划和自然资源局对于南京金鹰A座部分建筑设施违法建设、擅自改变使用性质的问题按照相关规定处理。</w:t>
      </w:r>
      <w:r w:rsidRPr="00D567D7">
        <w:rPr>
          <w:rFonts w:ascii="仿宋" w:eastAsia="仿宋" w:hAnsi="仿宋" w:hint="eastAsia"/>
          <w:color w:val="111111"/>
          <w:sz w:val="30"/>
          <w:szCs w:val="30"/>
        </w:rPr>
        <w:br/>
      </w:r>
      <w:r w:rsidRPr="00D567D7">
        <w:rPr>
          <w:rFonts w:ascii="宋体" w:eastAsia="宋体" w:hAnsi="宋体" w:cs="宋体" w:hint="eastAsia"/>
          <w:color w:val="111111"/>
          <w:sz w:val="30"/>
          <w:szCs w:val="30"/>
        </w:rPr>
        <w:t>  </w:t>
      </w:r>
      <w:r w:rsidRPr="00D567D7">
        <w:rPr>
          <w:rFonts w:ascii="仿宋" w:eastAsia="仿宋" w:hAnsi="仿宋" w:hint="eastAsia"/>
          <w:color w:val="111111"/>
          <w:sz w:val="30"/>
          <w:szCs w:val="30"/>
        </w:rPr>
        <w:t>（六）责成南京金鹰集团按照企业内部安全管理规定，对公安机关依法调查处理涉嫌犯罪的相关责任人外的其他相关责任人进行处理，处理结果报市应急管理局备案。</w:t>
      </w:r>
    </w:p>
    <w:p w:rsidR="00D567D7" w:rsidRPr="00D567D7" w:rsidRDefault="00D567D7" w:rsidP="00D567D7">
      <w:pPr>
        <w:ind w:firstLineChars="200" w:firstLine="600"/>
        <w:jc w:val="right"/>
        <w:rPr>
          <w:rFonts w:ascii="仿宋" w:eastAsia="仿宋" w:hAnsi="仿宋"/>
          <w:sz w:val="30"/>
          <w:szCs w:val="30"/>
        </w:rPr>
      </w:pPr>
      <w:bookmarkStart w:id="0" w:name="_GoBack"/>
      <w:r w:rsidRPr="00D567D7">
        <w:rPr>
          <w:rFonts w:ascii="仿宋" w:eastAsia="仿宋" w:hAnsi="仿宋" w:hint="eastAsia"/>
          <w:sz w:val="30"/>
          <w:szCs w:val="30"/>
        </w:rPr>
        <w:t>生成日期： 2019-10-08</w:t>
      </w:r>
      <w:bookmarkEnd w:id="0"/>
    </w:p>
    <w:sectPr w:rsidR="00D567D7" w:rsidRPr="00D567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E4"/>
    <w:rsid w:val="00B13453"/>
    <w:rsid w:val="00D567D7"/>
    <w:rsid w:val="00F23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567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67D7"/>
    <w:rPr>
      <w:rFonts w:ascii="宋体" w:eastAsia="宋体"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567D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567D7"/>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2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819</Characters>
  <Application>Microsoft Office Word</Application>
  <DocSecurity>0</DocSecurity>
  <Lines>6</Lines>
  <Paragraphs>1</Paragraphs>
  <ScaleCrop>false</ScaleCrop>
  <Company>微软中国</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2021-03-04T08:07:00Z</dcterms:created>
  <dcterms:modified xsi:type="dcterms:W3CDTF">2021-03-04T08:09:00Z</dcterms:modified>
</cp:coreProperties>
</file>