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bCs w:val="0"/>
          <w:sz w:val="32"/>
          <w:szCs w:val="32"/>
          <w:lang w:val="en-US"/>
        </w:rPr>
      </w:pPr>
      <w:r>
        <w:rPr>
          <w:rFonts w:hint="eastAsia"/>
          <w:b/>
          <w:bCs w:val="0"/>
          <w:sz w:val="32"/>
          <w:szCs w:val="32"/>
          <w:lang w:val="en-US" w:eastAsia="zh-CN"/>
        </w:rPr>
        <w:t>中华人民共和国渔港水域交通安全管理条例</w:t>
      </w:r>
    </w:p>
    <w:p>
      <w:pPr>
        <w:pStyle w:val="13"/>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(1989年7月3日中华人民共和国国务院令第38号发布　根据2011年1月8日《国务院关于废止和修改部分行政法规的决定》第一次修订　根据2017年10月7日《国务院关于修改部分行政法规的决定》第二次修订　根据2019年3月2日《国务院关于修改部分行政法规的决定》第三次修订)</w:t>
      </w:r>
    </w:p>
    <w:p>
      <w:pPr>
        <w:pStyle w:val="13"/>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28"/>
          <w:lang w:val="en-US"/>
        </w:rPr>
      </w:pP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第一条</w:t>
      </w:r>
      <w:r>
        <w:rPr>
          <w:rFonts w:hint="eastAsia" w:ascii="宋体" w:hAnsi="宋体" w:eastAsia="宋体" w:cs="宋体"/>
          <w:kern w:val="2"/>
          <w:sz w:val="28"/>
          <w:szCs w:val="28"/>
          <w:lang w:val="en-US" w:eastAsia="zh-CN" w:bidi="ar"/>
        </w:rPr>
        <w:t>　根据《中华人民共和国海上交通安全法》第四十八条的规定，制定本条例。</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第二条</w:t>
      </w:r>
      <w:r>
        <w:rPr>
          <w:rFonts w:hint="eastAsia" w:ascii="宋体" w:hAnsi="宋体" w:eastAsia="宋体" w:cs="宋体"/>
          <w:kern w:val="2"/>
          <w:sz w:val="28"/>
          <w:szCs w:val="28"/>
          <w:lang w:val="en-US" w:eastAsia="zh-CN" w:bidi="ar"/>
        </w:rPr>
        <w:t>　本条例适用于在中华人民共和国沿海以渔业为主的渔港和渔港水域(以下简称“渔港”和“渔港水域”)航行、停泊、作业的船舶、设施和人员以及船舶、设施的所有者、经营者。</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第三条</w:t>
      </w:r>
      <w:r>
        <w:rPr>
          <w:rFonts w:hint="eastAsia" w:ascii="宋体" w:hAnsi="宋体" w:eastAsia="宋体" w:cs="宋体"/>
          <w:kern w:val="2"/>
          <w:sz w:val="28"/>
          <w:szCs w:val="28"/>
          <w:lang w:val="en-US" w:eastAsia="zh-CN" w:bidi="ar"/>
        </w:rPr>
        <w:t>　中华人民共和国渔政渔港监督管理机关是对渔港水域交通安全实施监督管理的主管机关，并负责沿海水域渔业船舶之间交通事故的调查处理。</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第四</w:t>
      </w:r>
      <w:r>
        <w:rPr>
          <w:rFonts w:hint="eastAsia" w:ascii="宋体" w:hAnsi="宋体" w:eastAsia="宋体" w:cs="宋体"/>
          <w:kern w:val="2"/>
          <w:sz w:val="28"/>
          <w:szCs w:val="28"/>
          <w:lang w:val="en-US" w:eastAsia="zh-CN" w:bidi="ar"/>
        </w:rPr>
        <w:t>条　本条例下列用语的含义是：</w:t>
      </w:r>
    </w:p>
    <w:p>
      <w:pPr>
        <w:pStyle w:val="13"/>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渔港是指主要为渔业生产服务和供渔业船舶停泊、避风、装卸渔获物和补充渔需物资的人工港口或者自然港湾。</w:t>
      </w:r>
    </w:p>
    <w:p>
      <w:pPr>
        <w:pStyle w:val="13"/>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渔港水域是指渔港的港池、锚地、避风湾和航道。</w:t>
      </w:r>
    </w:p>
    <w:p>
      <w:pPr>
        <w:pStyle w:val="13"/>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渔业船舶是指从事渔业生产的船舶以及属于水产系统为渔业生产服务的船舶，包括捕捞船、养殖船、水产运销船、冷藏加工船、油船、供应船、渔业指导船、科研调查船、教学实习船、渔港工程船、拖轮、交通船、驳船、渔政船和渔监船。</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第五条</w:t>
      </w:r>
      <w:r>
        <w:rPr>
          <w:rFonts w:hint="eastAsia" w:ascii="宋体" w:hAnsi="宋体" w:eastAsia="宋体" w:cs="宋体"/>
          <w:kern w:val="2"/>
          <w:sz w:val="28"/>
          <w:szCs w:val="28"/>
          <w:lang w:val="en-US" w:eastAsia="zh-CN" w:bidi="ar"/>
        </w:rPr>
        <w:t>　对渔港认定有不同意见的，依照港口隶属关系由县级以上人民政府确定。</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第六条</w:t>
      </w:r>
      <w:r>
        <w:rPr>
          <w:rFonts w:hint="eastAsia" w:ascii="宋体" w:hAnsi="宋体" w:eastAsia="宋体" w:cs="宋体"/>
          <w:kern w:val="2"/>
          <w:sz w:val="28"/>
          <w:szCs w:val="28"/>
          <w:lang w:val="en-US" w:eastAsia="zh-CN" w:bidi="ar"/>
        </w:rPr>
        <w:t>　船舶进出渔港必须遵守渔港管理章程以及国际海上避碰规则，并依照规定向渔政渔港监督管理机关报告，接受安全检查。</w:t>
      </w:r>
    </w:p>
    <w:p>
      <w:pPr>
        <w:pStyle w:val="13"/>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渔港内的船舶必须服从渔政渔港监督管理机关对水域交通安全秩序的管理。</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第七条</w:t>
      </w:r>
      <w:r>
        <w:rPr>
          <w:rFonts w:hint="eastAsia" w:ascii="宋体" w:hAnsi="宋体" w:eastAsia="宋体" w:cs="宋体"/>
          <w:kern w:val="2"/>
          <w:sz w:val="28"/>
          <w:szCs w:val="28"/>
          <w:lang w:val="en-US" w:eastAsia="zh-CN" w:bidi="ar"/>
        </w:rPr>
        <w:t>　船舶在渔港内停泊、避风和装卸物资，不得损坏渔港的设施装备；造成损坏的应当向渔政渔港监督管理机关报告，并承担赔偿责任。</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第八条</w:t>
      </w:r>
      <w:r>
        <w:rPr>
          <w:rFonts w:hint="eastAsia" w:ascii="宋体" w:hAnsi="宋体" w:eastAsia="宋体" w:cs="宋体"/>
          <w:kern w:val="2"/>
          <w:sz w:val="28"/>
          <w:szCs w:val="28"/>
          <w:lang w:val="en-US" w:eastAsia="zh-CN" w:bidi="ar"/>
        </w:rPr>
        <w:t>　船舶在渔港内装卸易燃、易爆、有毒等危险货物，必须遵守国家关于危险货物管理的规定，并事先向渔政渔港监督管理机关提出申请，经批准后在指定的安全地点装卸。</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第九条</w:t>
      </w:r>
      <w:r>
        <w:rPr>
          <w:rFonts w:hint="eastAsia" w:ascii="宋体" w:hAnsi="宋体" w:eastAsia="宋体" w:cs="宋体"/>
          <w:kern w:val="2"/>
          <w:sz w:val="28"/>
          <w:szCs w:val="28"/>
          <w:lang w:val="en-US" w:eastAsia="zh-CN" w:bidi="ar"/>
        </w:rPr>
        <w:t>　在渔港内新建、改建、扩建各种设施，或者进行其他水上、水下施工作业，除依照国家规定履行审批手续外，应当报请渔政渔港监督管理机关批准。渔政渔港监督管理机关批准后，应当事先发布航行通告。</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第十条</w:t>
      </w:r>
      <w:r>
        <w:rPr>
          <w:rFonts w:hint="eastAsia" w:ascii="宋体" w:hAnsi="宋体" w:eastAsia="宋体" w:cs="宋体"/>
          <w:kern w:val="2"/>
          <w:sz w:val="28"/>
          <w:szCs w:val="28"/>
          <w:lang w:val="en-US" w:eastAsia="zh-CN" w:bidi="ar"/>
        </w:rPr>
        <w:t>　在渔港内的航道、港池、锚地和停泊区，禁止从事有碍海上交通安全的捕捞、养殖等生产活动。</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第十一条</w:t>
      </w:r>
      <w:r>
        <w:rPr>
          <w:rFonts w:hint="eastAsia" w:ascii="宋体" w:hAnsi="宋体" w:eastAsia="宋体" w:cs="宋体"/>
          <w:kern w:val="2"/>
          <w:sz w:val="28"/>
          <w:szCs w:val="28"/>
          <w:lang w:val="en-US" w:eastAsia="zh-CN" w:bidi="ar"/>
        </w:rPr>
        <w:t>　国家公务船舶在执行公务时进出渔港，经通报渔政渔港监督管理机关，可免于检查。渔政渔港监督管理机关应当对执行海上巡视任务的国家公务船舶的靠岸、停泊和补给提供方便。</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第十二条</w:t>
      </w:r>
      <w:r>
        <w:rPr>
          <w:rFonts w:hint="eastAsia" w:ascii="宋体" w:hAnsi="宋体" w:eastAsia="宋体" w:cs="宋体"/>
          <w:kern w:val="2"/>
          <w:sz w:val="28"/>
          <w:szCs w:val="28"/>
          <w:lang w:val="en-US" w:eastAsia="zh-CN" w:bidi="ar"/>
        </w:rPr>
        <w:t>　渔业船舶在向渔政渔港监督管理机关申请船舶登记，并取得渔业船舶国籍证书或者渔业船舶登记证书后，方可悬挂中华人民共和国国旗航行。</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第十三条</w:t>
      </w:r>
      <w:r>
        <w:rPr>
          <w:rFonts w:hint="eastAsia" w:ascii="宋体" w:hAnsi="宋体" w:eastAsia="宋体" w:cs="宋体"/>
          <w:kern w:val="2"/>
          <w:sz w:val="28"/>
          <w:szCs w:val="28"/>
          <w:lang w:val="en-US" w:eastAsia="zh-CN" w:bidi="ar"/>
        </w:rPr>
        <w:t>　渔业船舶必须经船舶检验部门检验合格，取得船舶技术证书，方可从事渔业生产。</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第十四条</w:t>
      </w:r>
      <w:r>
        <w:rPr>
          <w:rFonts w:hint="eastAsia" w:ascii="宋体" w:hAnsi="宋体" w:eastAsia="宋体" w:cs="宋体"/>
          <w:kern w:val="2"/>
          <w:sz w:val="28"/>
          <w:szCs w:val="28"/>
          <w:lang w:val="en-US" w:eastAsia="zh-CN" w:bidi="ar"/>
        </w:rPr>
        <w:t>　渔业船舶的船长、轮机长、驾驶员、轮机员、电机员、无线电报务员、话务员，必须经渔政渔港监督管理机关考核合格，取得职务证书，其他人员应当经过相应的专业训练。</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第十五条</w:t>
      </w:r>
      <w:r>
        <w:rPr>
          <w:rFonts w:hint="eastAsia" w:ascii="宋体" w:hAnsi="宋体" w:eastAsia="宋体" w:cs="宋体"/>
          <w:kern w:val="2"/>
          <w:sz w:val="28"/>
          <w:szCs w:val="28"/>
          <w:lang w:val="en-US" w:eastAsia="zh-CN" w:bidi="ar"/>
        </w:rPr>
        <w:t>　地方各级人民政府应当加强本行政区域内渔业船舶船员的技术培训工作。国营、集体所有的渔业船舶，其船员的技术培训由渔业船舶所属单位负责；个人所有的渔业船舶，其船员的技术培训由当地人民政府渔业行政主管部门负责。</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第十六条</w:t>
      </w:r>
      <w:r>
        <w:rPr>
          <w:rFonts w:hint="eastAsia" w:ascii="宋体" w:hAnsi="宋体" w:eastAsia="宋体" w:cs="宋体"/>
          <w:kern w:val="2"/>
          <w:sz w:val="28"/>
          <w:szCs w:val="28"/>
          <w:lang w:val="en-US" w:eastAsia="zh-CN" w:bidi="ar"/>
        </w:rPr>
        <w:t>　渔业船舶之间发生交通事故，应当向就近的渔政渔港监督管理机关报告，并在进入第一个港口48小时之内向渔政渔港监督管理机关递交事故报告书和有关材料，接受调查处理。</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第十七条</w:t>
      </w:r>
      <w:r>
        <w:rPr>
          <w:rFonts w:hint="eastAsia" w:ascii="宋体" w:hAnsi="宋体" w:eastAsia="宋体" w:cs="宋体"/>
          <w:kern w:val="2"/>
          <w:sz w:val="28"/>
          <w:szCs w:val="28"/>
          <w:lang w:val="en-US" w:eastAsia="zh-CN" w:bidi="ar"/>
        </w:rPr>
        <w:t>　渔政渔港监督管理机关对渔港水域内的交通事故和其他沿海水域渔业船舶之间的交通事故，应当及时查明原因，判明责任，作出处理决定。</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第十八条</w:t>
      </w:r>
      <w:r>
        <w:rPr>
          <w:rFonts w:hint="eastAsia" w:ascii="宋体" w:hAnsi="宋体" w:eastAsia="宋体" w:cs="宋体"/>
          <w:kern w:val="2"/>
          <w:sz w:val="28"/>
          <w:szCs w:val="28"/>
          <w:lang w:val="en-US" w:eastAsia="zh-CN" w:bidi="ar"/>
        </w:rPr>
        <w:t>　渔港内的船舶、设施有下列情形之一的，渔政渔港监督管理机关有权禁止其离港，或者令其停航、改航、停止作业：</w:t>
      </w:r>
    </w:p>
    <w:p>
      <w:pPr>
        <w:pStyle w:val="13"/>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(一)违反中华人民共和国法律、法规或者规章的；</w:t>
      </w:r>
    </w:p>
    <w:p>
      <w:pPr>
        <w:pStyle w:val="13"/>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(二)处于不适航或者不适拖状态的；</w:t>
      </w:r>
    </w:p>
    <w:p>
      <w:pPr>
        <w:pStyle w:val="13"/>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(三)发生交通事故，手续未清的；</w:t>
      </w:r>
    </w:p>
    <w:p>
      <w:pPr>
        <w:pStyle w:val="13"/>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(四)未向渔政渔港监督管理机关或者有关部门交付应当承担的费用，也未提供担保的；</w:t>
      </w:r>
    </w:p>
    <w:p>
      <w:pPr>
        <w:pStyle w:val="13"/>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(五)渔政渔港监督管理机关认为有其他妨害或者可能妨害海上交通安全的。</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第十九条</w:t>
      </w:r>
      <w:r>
        <w:rPr>
          <w:rFonts w:hint="eastAsia" w:ascii="宋体" w:hAnsi="宋体" w:eastAsia="宋体" w:cs="宋体"/>
          <w:kern w:val="2"/>
          <w:sz w:val="28"/>
          <w:szCs w:val="28"/>
          <w:lang w:val="en-US" w:eastAsia="zh-CN" w:bidi="ar"/>
        </w:rPr>
        <w:t>　渔港内的船舶、设施发生事故，对海上交通安全造成或者可能造成危害，渔政渔港监督管理机关有权对其采取强制性处置措施。</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第二十条</w:t>
      </w:r>
      <w:r>
        <w:rPr>
          <w:rFonts w:hint="eastAsia" w:ascii="宋体" w:hAnsi="宋体" w:eastAsia="宋体" w:cs="宋体"/>
          <w:kern w:val="2"/>
          <w:sz w:val="28"/>
          <w:szCs w:val="28"/>
          <w:lang w:val="en-US" w:eastAsia="zh-CN" w:bidi="ar"/>
        </w:rPr>
        <w:t>　船舶进出渔港依照规定应当向渔政渔港监督管理机关报告而未报告的，或者在渔港内不服从渔政渔港监督管理机关对水域交通安全秩序管理的，由渔政渔港监督管理机关责令改正，可以并处警告、罚款；情节严重的，扣留或者吊销船长职务证书(扣留职务证书时间最长不超过6个月，下同)。</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第二十一条</w:t>
      </w:r>
      <w:r>
        <w:rPr>
          <w:rFonts w:hint="eastAsia" w:ascii="宋体" w:hAnsi="宋体" w:eastAsia="宋体" w:cs="宋体"/>
          <w:kern w:val="2"/>
          <w:sz w:val="28"/>
          <w:szCs w:val="28"/>
          <w:lang w:val="en-US" w:eastAsia="zh-CN" w:bidi="ar"/>
        </w:rPr>
        <w:t>　违反本条例规定，有下列行为之一的，由渔政渔港监督管理机关责令停止违法行为，可以并处警告、罚款；造成损失的，应当承担赔偿责任；对直接责任人员由其所在单位或者上级主管机关给予行政处分：</w:t>
      </w:r>
    </w:p>
    <w:p>
      <w:pPr>
        <w:pStyle w:val="13"/>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(一)未经渔政渔港监督管理机关批准或者未按照批准文件的规定，在渔港内装卸易燃、易爆、有毒等危险货物的；</w:t>
      </w:r>
    </w:p>
    <w:p>
      <w:pPr>
        <w:pStyle w:val="13"/>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(二)未经渔政渔港监督管理机关批准，在渔港内新建、改建、扩建各种设施或者进行其他水上、水下施工作业的；</w:t>
      </w:r>
    </w:p>
    <w:p>
      <w:pPr>
        <w:pStyle w:val="13"/>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(三)在渔港内的航道、港池、锚地和停泊区从事有碍海上交通安全的捕捞、养殖等生产活动的。</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第二十二条</w:t>
      </w:r>
      <w:r>
        <w:rPr>
          <w:rFonts w:hint="eastAsia" w:ascii="宋体" w:hAnsi="宋体" w:eastAsia="宋体" w:cs="宋体"/>
          <w:kern w:val="2"/>
          <w:sz w:val="28"/>
          <w:szCs w:val="28"/>
          <w:lang w:val="en-US" w:eastAsia="zh-CN" w:bidi="ar"/>
        </w:rPr>
        <w:t>　违反本条例规定，未持有船舶证书或者未配齐船员的，由渔政渔港监督管理机关责令改正，可以并处罚款。</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第二十三条</w:t>
      </w:r>
      <w:r>
        <w:rPr>
          <w:rFonts w:hint="eastAsia" w:ascii="宋体" w:hAnsi="宋体" w:eastAsia="宋体" w:cs="宋体"/>
          <w:kern w:val="2"/>
          <w:sz w:val="28"/>
          <w:szCs w:val="28"/>
          <w:lang w:val="en-US" w:eastAsia="zh-CN" w:bidi="ar"/>
        </w:rPr>
        <w:t>　违反本条例规定，不执行渔政渔港监督管理机关作出的离港、停航、改航、停止作业的决定，或者在执行中违反上述决定的，由渔政渔港监督管理机关责令改正，可以并处警告、罚款；情节严重的，扣留或者吊销船长职务证书。</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第二十四条</w:t>
      </w:r>
      <w:r>
        <w:rPr>
          <w:rFonts w:hint="eastAsia" w:ascii="宋体" w:hAnsi="宋体" w:eastAsia="宋体" w:cs="宋体"/>
          <w:kern w:val="2"/>
          <w:sz w:val="28"/>
          <w:szCs w:val="28"/>
          <w:lang w:val="en-US" w:eastAsia="zh-CN" w:bidi="ar"/>
        </w:rPr>
        <w:t>　当事人对渔政渔港监督管理机关作出的行政处罚决定不服的，可以在接到处罚通知之日起15日内向人民法院起诉；期满不起诉又不履行的，由渔政渔港监督管理机关申请人民法院强制执行。</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第二十五条</w:t>
      </w:r>
      <w:r>
        <w:rPr>
          <w:rFonts w:hint="eastAsia" w:ascii="宋体" w:hAnsi="宋体" w:eastAsia="宋体" w:cs="宋体"/>
          <w:kern w:val="2"/>
          <w:sz w:val="28"/>
          <w:szCs w:val="28"/>
          <w:lang w:val="en-US" w:eastAsia="zh-CN" w:bidi="ar"/>
        </w:rPr>
        <w:t>　因渔港水域内发生的交通事故或者其他沿海水域发生的渔业船舶之间的交通事故引起的民事纠纷，可以由渔政渔港监督管理机关调解处理；调解不成或者不愿意调解的，当事人可以向人民法院起诉。</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第二十六条</w:t>
      </w:r>
      <w:r>
        <w:rPr>
          <w:rFonts w:hint="eastAsia" w:ascii="宋体" w:hAnsi="宋体" w:eastAsia="宋体" w:cs="宋体"/>
          <w:kern w:val="2"/>
          <w:sz w:val="28"/>
          <w:szCs w:val="28"/>
          <w:lang w:val="en-US" w:eastAsia="zh-CN" w:bidi="ar"/>
        </w:rPr>
        <w:t>　拒绝、阻碍渔政渔港监督管理工作人员依法执行公务，应当给予治安管理处罚的，由公安机关依照《中华人民共和国治安管理处罚法》有关规定处罚；构成犯罪的，由司法机关依法追究刑事责任。</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第二十七条</w:t>
      </w:r>
      <w:r>
        <w:rPr>
          <w:rFonts w:hint="eastAsia" w:ascii="宋体" w:hAnsi="宋体" w:eastAsia="宋体" w:cs="宋体"/>
          <w:kern w:val="2"/>
          <w:sz w:val="28"/>
          <w:szCs w:val="28"/>
          <w:lang w:val="en-US" w:eastAsia="zh-CN" w:bidi="ar"/>
        </w:rPr>
        <w:t>　渔政渔港监督管理工作人员，在渔港和渔港水域交通安全监督管理工作中，玩忽职守，滥用职权、徇私舞弊的，由其所在单位或者上级主管机关给予行政处分；构成犯罪的，由司法机关依法追究刑事责任。</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kern w:val="2"/>
          <w:sz w:val="28"/>
          <w:szCs w:val="28"/>
          <w:lang w:val="en-US" w:eastAsia="zh-CN" w:bidi="ar"/>
        </w:rPr>
        <w:t>第二十八条</w:t>
      </w:r>
      <w:r>
        <w:rPr>
          <w:rFonts w:hint="eastAsia" w:ascii="宋体" w:hAnsi="宋体" w:eastAsia="宋体" w:cs="宋体"/>
          <w:kern w:val="2"/>
          <w:sz w:val="28"/>
          <w:szCs w:val="28"/>
          <w:lang w:val="en-US" w:eastAsia="zh-CN" w:bidi="ar"/>
        </w:rPr>
        <w:t>　本条例实施细则由农业农村部制定。</w:t>
      </w:r>
    </w:p>
    <w:p>
      <w:pPr>
        <w:pStyle w:val="13"/>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sz w:val="28"/>
          <w:szCs w:val="28"/>
          <w:lang w:eastAsia="zh-CN"/>
        </w:rPr>
      </w:pPr>
      <w:bookmarkStart w:id="0" w:name="_GoBack"/>
      <w:r>
        <w:rPr>
          <w:rFonts w:hint="eastAsia" w:ascii="宋体" w:hAnsi="宋体" w:eastAsia="宋体" w:cs="宋体"/>
          <w:b/>
          <w:bCs/>
          <w:kern w:val="2"/>
          <w:sz w:val="28"/>
          <w:szCs w:val="28"/>
          <w:lang w:val="en-US" w:eastAsia="zh-CN" w:bidi="ar"/>
        </w:rPr>
        <w:t>第二十九条</w:t>
      </w:r>
      <w:bookmarkEnd w:id="0"/>
      <w:r>
        <w:rPr>
          <w:rFonts w:hint="eastAsia" w:ascii="宋体" w:hAnsi="宋体" w:eastAsia="宋体" w:cs="宋体"/>
          <w:kern w:val="2"/>
          <w:sz w:val="28"/>
          <w:szCs w:val="28"/>
          <w:lang w:val="en-US" w:eastAsia="zh-CN" w:bidi="ar"/>
        </w:rPr>
        <w:t>　本条例自1989年8月1日起施行。</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3"/>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1E86479"/>
    <w:rsid w:val="026D2287"/>
    <w:rsid w:val="02B836F8"/>
    <w:rsid w:val="03356D16"/>
    <w:rsid w:val="03985ADA"/>
    <w:rsid w:val="058213F7"/>
    <w:rsid w:val="0788080A"/>
    <w:rsid w:val="07E71367"/>
    <w:rsid w:val="08FF0C17"/>
    <w:rsid w:val="0963250F"/>
    <w:rsid w:val="097F7BAD"/>
    <w:rsid w:val="09B60066"/>
    <w:rsid w:val="0AEB2A0D"/>
    <w:rsid w:val="0B3D0578"/>
    <w:rsid w:val="0D3C4224"/>
    <w:rsid w:val="0D610029"/>
    <w:rsid w:val="0DFE10B9"/>
    <w:rsid w:val="10A47D69"/>
    <w:rsid w:val="134A1994"/>
    <w:rsid w:val="136642BB"/>
    <w:rsid w:val="142327B5"/>
    <w:rsid w:val="14484CDF"/>
    <w:rsid w:val="155E2CB3"/>
    <w:rsid w:val="18413C16"/>
    <w:rsid w:val="198A0A54"/>
    <w:rsid w:val="19DB6C33"/>
    <w:rsid w:val="1C9212F7"/>
    <w:rsid w:val="20D86240"/>
    <w:rsid w:val="21CE0F2E"/>
    <w:rsid w:val="22DD4281"/>
    <w:rsid w:val="25F044FF"/>
    <w:rsid w:val="26CA1A3A"/>
    <w:rsid w:val="27680A3B"/>
    <w:rsid w:val="2834230D"/>
    <w:rsid w:val="28F8723D"/>
    <w:rsid w:val="2B01664D"/>
    <w:rsid w:val="2D644059"/>
    <w:rsid w:val="2DBE0D65"/>
    <w:rsid w:val="2E1B43B4"/>
    <w:rsid w:val="2ED32E01"/>
    <w:rsid w:val="2FF20DF5"/>
    <w:rsid w:val="318138A8"/>
    <w:rsid w:val="320E2B0A"/>
    <w:rsid w:val="32252208"/>
    <w:rsid w:val="33CF5811"/>
    <w:rsid w:val="386D21AD"/>
    <w:rsid w:val="3A7915E5"/>
    <w:rsid w:val="3B1265AF"/>
    <w:rsid w:val="3BA0652C"/>
    <w:rsid w:val="3CA23060"/>
    <w:rsid w:val="3CDF39C7"/>
    <w:rsid w:val="3D762392"/>
    <w:rsid w:val="3DFC6899"/>
    <w:rsid w:val="3E3675FB"/>
    <w:rsid w:val="3F5A425A"/>
    <w:rsid w:val="3F800236"/>
    <w:rsid w:val="3F8C783C"/>
    <w:rsid w:val="40DC5AC3"/>
    <w:rsid w:val="40F66CF8"/>
    <w:rsid w:val="40FE47B4"/>
    <w:rsid w:val="41B857FD"/>
    <w:rsid w:val="4361706F"/>
    <w:rsid w:val="43CA1521"/>
    <w:rsid w:val="444B0E8A"/>
    <w:rsid w:val="47A250A3"/>
    <w:rsid w:val="494B3B16"/>
    <w:rsid w:val="4AC82716"/>
    <w:rsid w:val="4DC87E21"/>
    <w:rsid w:val="4EDF3D2B"/>
    <w:rsid w:val="4EED79F5"/>
    <w:rsid w:val="5080370D"/>
    <w:rsid w:val="523F45D1"/>
    <w:rsid w:val="52695AB4"/>
    <w:rsid w:val="529D4C7B"/>
    <w:rsid w:val="53BF5C69"/>
    <w:rsid w:val="53DA0A43"/>
    <w:rsid w:val="55B865F8"/>
    <w:rsid w:val="575D4E2E"/>
    <w:rsid w:val="58035B31"/>
    <w:rsid w:val="58F6185E"/>
    <w:rsid w:val="591257DC"/>
    <w:rsid w:val="5987475E"/>
    <w:rsid w:val="5C223266"/>
    <w:rsid w:val="5D422BF8"/>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5F55CF4"/>
    <w:rsid w:val="665D25F4"/>
    <w:rsid w:val="67143D3A"/>
    <w:rsid w:val="68715924"/>
    <w:rsid w:val="697D32FB"/>
    <w:rsid w:val="6A403C00"/>
    <w:rsid w:val="6B4C7D1B"/>
    <w:rsid w:val="6C267EB4"/>
    <w:rsid w:val="6D1363D3"/>
    <w:rsid w:val="6D614426"/>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ABD49CD"/>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2612</Words>
  <Characters>2632</Characters>
  <Lines>12</Lines>
  <Paragraphs>3</Paragraphs>
  <TotalTime>1</TotalTime>
  <ScaleCrop>false</ScaleCrop>
  <LinksUpToDate>false</LinksUpToDate>
  <CharactersWithSpaces>2664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阿岳爱大猫</cp:lastModifiedBy>
  <dcterms:modified xsi:type="dcterms:W3CDTF">2024-05-30T02:31:32Z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096D43E391C1409BA2B9BE237C2D6881_12</vt:lpwstr>
  </property>
</Properties>
</file>