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三林村金家宅92号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“7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17”液化气泄漏闪爆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事故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调查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2023年7月17日中午11时20分许，三林村金家宅92号房屋内发生一起液化气泄漏闪爆事故。事故造成1人灼伤，部分房屋门窗受损。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为查明事故原因、吸取教训，由浦东新区建设和交通委员会牵头，会同上海市公安局浦东分局、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浦东新区城市管理行政执法局、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浦东新区消防救援支队、浦东新区应急管理局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、浦东新区市场监督管理局、三林镇人民政府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等单位派员组成事故调查组，开展事故调查及进行善后处置工作，现就事故情况汇报如下：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(一)住户信息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发生事故房屋位于三林村金家宅92号103室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三林镇自建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原村委会用房，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现部分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用于老龄活动室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部分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用于对外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出租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供人居住。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目前该处地址住有租户两人，分别为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当事人陈文法，男，56岁，江苏籍。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陈嘉，女，31岁，江苏籍，陈文法之女。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（二）钢瓶和配送情况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涉事地址未办理过液化气用气相关开户手续。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涉事现场共发现2个钢瓶，均属于上海百斯特能源发展有限公司。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通过对电子标签的核查，涉案液化气钢瓶入库、出库、送达均按规范落实了扫码工作。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钢瓶1电子标签号码为：16023396，检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验日期为2021年4月，在规定使用期限内，检验中发现该钢瓶状态为无余气。根据系统数据该用户于2023年2月7日9时58分由百斯特配送人员实施配送，配送地点为浦东新区三林镇灵岩南路1103号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葱油饼店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，接收人为徐红香，女，56岁，江苏籍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钢瓶2电子标签号码为：13059171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检验日期为2022年6月，在规定使用期限内，检验中发现该钢瓶状态为有余气。根据系统数据该用户于2023年6月17日14时48分由百斯特配送人员实施配送，配送地点为浦东新区三林镇灵岩南路1103号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葱油饼店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，接收人为徐红香，女，56岁，江苏籍。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根据公安询问笔录，陈文法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徐红香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为男女朋友关系。事故发生前，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陈文法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分两次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将2个涉事钢瓶由灵岩南路1103号搬运到三林村金家宅92号103室。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二、事故发生经过和救援勘察情况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(一)事故发生经过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2023年7月17日上午9时许，陈文法女儿陈嘉在三林村金家宅92号103室家中烧完午饭后外出至林博市场给陈文法送饭，根据陈嘉询问笔录，陈嘉烧饭后关闭了液化气钢瓶总阀。当日上午11时许，陈文法回上址家中开门时闻到液化气泄漏异味，在检查过程中突发液化气闪爆，陈文法灼伤，送至瑞金医院治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(二)救援处置及现场勘察情况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2023年7月17日11时34分，接应急指挥中心调派，公安、消防等部门到场。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据永泰救援中队处置情况：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现场为三层砖混结构，东西走向，事故房间位于底层东侧，进出门位于该房间南侧。事故房间约30平方米，现场摆放有2个液化石油气钢瓶，编号为13059171的液化石油气钢瓶位于灶台旁，消防救援人员进入时将其阀门关闭后移至室外安全区域；编号为16023396的液化石油气钢瓶位于东墙靠南位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发现时阀门损坏无法操作状态，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现场指挥员安排人员将其移至室外安全区域，并用水枪进行冷却稀释保护。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经现场调查，现场未发现其他易燃易爆物品，未发现外来入侵痕迹，排除刑事案件可能。通过走访询问家属及周边邻居未发现伤者有轻生迹象，排除自杀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（主观恶意破坏）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可能。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三、事故受伤情况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事故造成1人灼伤。受伤人员信息：陈文法，男，56岁，江苏籍。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四、样品检测情况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事故现场发生闪爆的房屋为三林村金家宅92号103室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事故现场共发现2个液化石油气钢瓶，由上海百斯特能源发展有限公司供气，钢瓶编号为16023396和13059171。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经检测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2个液化石油气钢瓶阀门密闭性均完好，阀门与阀座连接处无泄漏；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灶前连接用软管无泄漏；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瓶装液化石油气调压器无过流切断安全装置，气密性符合标准GB 35844-2018《瓶装液化石油气调压器》5.3.3的要求，出口压力不符合标准GB 35844-2018《瓶装液化石油气调压器》5.3.5的要求；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家用燃气灶具气密性项目不符合标准GB 16410-2020《家用燃气灶具》5.2.1的要求，样品无熄火保护装置。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五、事故发生原因和事故性质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(一)事故发生原因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当事人陈文法擅自将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液化气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钢瓶转运至不具备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使用条件的出租屋内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不合规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调压阀及非安全型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灶具。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徐红香擅自出借液化气钢瓶改变燃气用途，将原本用作餐饮使用的液化气钢瓶出借给陈文法，作为家庭做饭使用。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陈嘉在最后一次使用完液化气钢瓶后未及时关闭钢瓶阀门。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(二)事故性质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经事故调查组认定，三林村金家宅92号“7.17”液化石油气闪爆事故是一起因使用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非安全型灶具及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瓶装液化气钢瓶操作不当引起的一般燃气安全事故。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六、事故责任的认定和处理建议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当事人陈文法，擅自将液化气钢瓶转运至不具备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使用条件的出租屋内，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不合规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调压阀及非安全型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灶具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对事故的发生负有责任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鉴于其本人已在事故中受伤，建议不再追究其行政责任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徐红香擅自出借液化气钢瓶，改变燃气用途，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对事故的发生负有责任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。建议将线索移交区城管、区公安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依法予以处理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陈嘉在最后一次使用完液化气钢瓶后未及时关闭钢瓶阀门，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对事故的发生负有责任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三林镇政府未能及时发现违规用气隐患点并及时整改销项，对辖区内燃气安全的隐患排查工作未能尽职履责。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七、整改防范措施建议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严格落实属地安全管理职责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eastAsia="zh-CN"/>
        </w:rPr>
        <w:t>林镇要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  <w:t>严格落实《本市建筑施工和城镇燃气重大事故隐患专项排查整治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  <w:t>2023行动工作方案》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  <w:t>《浦东新区重大事故隐患专项排查整治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  <w:t>2023行动工作方案》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eastAsia="zh-CN"/>
        </w:rPr>
        <w:t>和《浦东新区燃气领域重大事故隐患专项排查整治2023行动方案》的相关工作要求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  <w:t>，建立安全监管执法责任倒查机制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eastAsia="zh-CN"/>
        </w:rPr>
        <w:t>，对明明有问题却查不出或查出后跟踪整改不到位导致发生事故的，严肃追责问责。确保隐患排查工作真正落到实处，对排查出的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隐患及时整改销项。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  <w:highlight w:val="none"/>
          <w:lang w:val="en-US" w:eastAsia="zh-CN" w:bidi="ar-SA"/>
        </w:rPr>
        <w:t>持续加强用气安全的宣传及普及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三林镇政府要积极组织燃气公司定期开展宣传活动，将燃气安全的宣传工作深入到群众一线；通过组织开展燃气安全主题宣传活动、发放安全宣传材料、微信公众号等线上线下多种方式，指导居民正确使用燃具、预防燃气泄露及事故应急处置方法，提升社区居民燃气使用安全意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（二）区建交委要进一步加强燃气安全管理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发挥区燃联办牵头单位作用，督促各街镇认真落实正在开展的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</w:rPr>
        <w:t>重大事故隐患专项排查整治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及时发现隐患，及时落实整改销项。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对存在隐患较为集中的片区督促属地街镇和燃气企业集中开展整治，在隐患未消除前采取阶段性停止供气等措施。进一步加强燃气企业管理，督促燃气企业在供气环节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加强用户入户安全检查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，同时加强安全用气的宣传告知。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三林村金家宅92号“7.17”液化气事故调查组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4800" w:firstLineChars="15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2B24314C"/>
    <w:rsid w:val="081B54CF"/>
    <w:rsid w:val="2B24314C"/>
    <w:rsid w:val="2D33782A"/>
    <w:rsid w:val="3AAD6C22"/>
    <w:rsid w:val="43E64092"/>
    <w:rsid w:val="47F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2023-08-03T06:12:00Z</dcterms:created>
  <dc:creator>lenovo</dc:creator>
  <cp:lastModifiedBy>admin</cp:lastModifiedBy>
  <dcterms:modified xsi:type="dcterms:W3CDTF">2023-08-10T01:12:08Z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40637A188A8F42449E6C05B392915EE9_13</vt:lpwstr>
  </property>
</Properties>
</file>